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194" w:rsidRDefault="003D1194" w:rsidP="003D1194">
      <w:pPr>
        <w:pStyle w:val="Title"/>
        <w:rPr>
          <w:lang w:val="en-CA"/>
        </w:rPr>
      </w:pPr>
      <w:r>
        <w:rPr>
          <w:lang w:val="en-CA"/>
        </w:rPr>
        <w:t>Winnipeg Public Library</w:t>
      </w:r>
    </w:p>
    <w:p w:rsidR="003D1194" w:rsidRDefault="003215BB" w:rsidP="003D1194">
      <w:pPr>
        <w:pStyle w:val="Title"/>
        <w:rPr>
          <w:lang w:val="en-CA"/>
        </w:rPr>
      </w:pPr>
      <w:r>
        <w:rPr>
          <w:lang w:val="en-CA"/>
        </w:rPr>
        <w:t>2022</w:t>
      </w:r>
      <w:r w:rsidR="003D1194">
        <w:rPr>
          <w:lang w:val="en-CA"/>
        </w:rPr>
        <w:t xml:space="preserve"> annual Report</w:t>
      </w:r>
    </w:p>
    <w:p w:rsidR="00514CF2" w:rsidRDefault="003215BB" w:rsidP="003215BB">
      <w:r>
        <w:t>Winnipeg Public Library branches are</w:t>
      </w:r>
      <w:r>
        <w:t xml:space="preserve"> </w:t>
      </w:r>
      <w:r>
        <w:t>located in Treaty One Territory, the home</w:t>
      </w:r>
      <w:r>
        <w:t xml:space="preserve"> </w:t>
      </w:r>
      <w:r>
        <w:t>and traditional lands of the Anishinaabe</w:t>
      </w:r>
      <w:r>
        <w:t xml:space="preserve"> </w:t>
      </w:r>
      <w:r>
        <w:t xml:space="preserve">(Ojibwe), </w:t>
      </w:r>
      <w:proofErr w:type="spellStart"/>
      <w:r>
        <w:t>Ininew</w:t>
      </w:r>
      <w:proofErr w:type="spellEnd"/>
      <w:r>
        <w:t xml:space="preserve"> (Cree), and Dakota peoples, and</w:t>
      </w:r>
      <w:r>
        <w:t xml:space="preserve"> </w:t>
      </w:r>
      <w:r>
        <w:t>in the National Homeland of the Red River Métis. Our</w:t>
      </w:r>
      <w:r>
        <w:t xml:space="preserve"> </w:t>
      </w:r>
      <w:r>
        <w:t>drinking water comes from Shoal Lake 40 First Nation, in</w:t>
      </w:r>
      <w:r>
        <w:t xml:space="preserve"> </w:t>
      </w:r>
      <w:r>
        <w:t>Treaty Three Territory.</w:t>
      </w:r>
    </w:p>
    <w:p w:rsidR="00321185" w:rsidRDefault="00321185" w:rsidP="008F5565">
      <w:pPr>
        <w:rPr>
          <w:b/>
          <w:bCs/>
        </w:rPr>
      </w:pPr>
      <w:r w:rsidRPr="00321185">
        <w:t>Our mission is to enrich the lives</w:t>
      </w:r>
      <w:r>
        <w:t xml:space="preserve"> </w:t>
      </w:r>
      <w:r w:rsidRPr="00321185">
        <w:t>of all Winnipeg citizens and their</w:t>
      </w:r>
      <w:r>
        <w:t xml:space="preserve"> </w:t>
      </w:r>
      <w:r w:rsidRPr="00321185">
        <w:t xml:space="preserve">communities by providing </w:t>
      </w:r>
      <w:r w:rsidR="005F6D65">
        <w:t>high-quality</w:t>
      </w:r>
      <w:r w:rsidRPr="00321185">
        <w:t>, responsive and innovative</w:t>
      </w:r>
      <w:r>
        <w:t xml:space="preserve"> </w:t>
      </w:r>
      <w:r w:rsidRPr="00321185">
        <w:t>library services.</w:t>
      </w:r>
    </w:p>
    <w:p w:rsidR="003D1194" w:rsidRDefault="00A707CD" w:rsidP="00321185">
      <w:pPr>
        <w:pStyle w:val="Heading1"/>
      </w:pPr>
      <w:r w:rsidRPr="001E2CB1">
        <w:t>Winnipeg Publi</w:t>
      </w:r>
      <w:r>
        <w:t>c Library by the n</w:t>
      </w:r>
      <w:bookmarkStart w:id="0" w:name="_GoBack"/>
      <w:bookmarkEnd w:id="0"/>
      <w:r>
        <w:t xml:space="preserve">umbers in </w:t>
      </w:r>
      <w:r w:rsidR="003215BB">
        <w:t>2022</w:t>
      </w:r>
      <w:r>
        <w:t>:</w:t>
      </w:r>
    </w:p>
    <w:p w:rsidR="00A707CD" w:rsidRPr="00A707CD" w:rsidRDefault="00A707CD" w:rsidP="00F24277">
      <w:pPr>
        <w:pStyle w:val="ListParagraph"/>
        <w:numPr>
          <w:ilvl w:val="0"/>
          <w:numId w:val="1"/>
        </w:numPr>
      </w:pPr>
      <w:r>
        <w:t>20 public librar</w:t>
      </w:r>
      <w:r w:rsidR="00514CF2">
        <w:t>ie</w:t>
      </w:r>
      <w:r>
        <w:t>s</w:t>
      </w:r>
    </w:p>
    <w:p w:rsidR="00A707CD" w:rsidRPr="001E2CB1" w:rsidRDefault="003215BB" w:rsidP="00F24277">
      <w:pPr>
        <w:pStyle w:val="ListParagraph"/>
        <w:numPr>
          <w:ilvl w:val="0"/>
          <w:numId w:val="1"/>
        </w:numPr>
      </w:pPr>
      <w:r>
        <w:rPr>
          <w:lang w:val="en-CA"/>
        </w:rPr>
        <w:t>102,402</w:t>
      </w:r>
      <w:r w:rsidR="00A707CD">
        <w:rPr>
          <w:lang w:val="en-CA"/>
        </w:rPr>
        <w:t xml:space="preserve"> library</w:t>
      </w:r>
      <w:r w:rsidR="00A707CD" w:rsidRPr="001E2CB1">
        <w:rPr>
          <w:lang w:val="en-CA"/>
        </w:rPr>
        <w:t xml:space="preserve"> </w:t>
      </w:r>
      <w:r w:rsidR="00A707CD" w:rsidRPr="001E2CB1">
        <w:rPr>
          <w:bCs/>
          <w:lang w:val="en-CA"/>
        </w:rPr>
        <w:t xml:space="preserve">cardholders </w:t>
      </w:r>
    </w:p>
    <w:p w:rsidR="00A707CD" w:rsidRPr="001E2CB1" w:rsidRDefault="003215BB" w:rsidP="00F24277">
      <w:pPr>
        <w:pStyle w:val="ListParagraph"/>
        <w:numPr>
          <w:ilvl w:val="0"/>
          <w:numId w:val="1"/>
        </w:numPr>
      </w:pPr>
      <w:r>
        <w:rPr>
          <w:lang w:val="en-CA"/>
        </w:rPr>
        <w:t>1,673,850</w:t>
      </w:r>
      <w:r w:rsidR="00A707CD" w:rsidRPr="001E2CB1">
        <w:rPr>
          <w:lang w:val="en-CA"/>
        </w:rPr>
        <w:t xml:space="preserve"> </w:t>
      </w:r>
      <w:r w:rsidR="00A707CD">
        <w:rPr>
          <w:lang w:val="en-CA"/>
        </w:rPr>
        <w:t xml:space="preserve">in-person visits in </w:t>
      </w:r>
      <w:r>
        <w:rPr>
          <w:lang w:val="en-CA"/>
        </w:rPr>
        <w:t>2022</w:t>
      </w:r>
    </w:p>
    <w:p w:rsidR="00A707CD" w:rsidRPr="001E2CB1" w:rsidRDefault="003215BB" w:rsidP="00F24277">
      <w:pPr>
        <w:pStyle w:val="ListParagraph"/>
        <w:numPr>
          <w:ilvl w:val="0"/>
          <w:numId w:val="1"/>
        </w:numPr>
      </w:pPr>
      <w:r>
        <w:rPr>
          <w:lang w:val="en-CA"/>
        </w:rPr>
        <w:t>4,348,840</w:t>
      </w:r>
      <w:r w:rsidR="00A707CD" w:rsidRPr="001E2CB1">
        <w:rPr>
          <w:lang w:val="en-CA"/>
        </w:rPr>
        <w:t xml:space="preserve"> items borrowed including eBook and </w:t>
      </w:r>
      <w:proofErr w:type="spellStart"/>
      <w:r w:rsidR="00A707CD" w:rsidRPr="001E2CB1">
        <w:rPr>
          <w:lang w:val="en-CA"/>
        </w:rPr>
        <w:t>eLibrary</w:t>
      </w:r>
      <w:proofErr w:type="spellEnd"/>
      <w:r w:rsidR="00A707CD" w:rsidRPr="001E2CB1">
        <w:rPr>
          <w:lang w:val="en-CA"/>
        </w:rPr>
        <w:t xml:space="preserve"> downloads</w:t>
      </w:r>
    </w:p>
    <w:p w:rsidR="00560001" w:rsidRDefault="003215BB" w:rsidP="00F24277">
      <w:pPr>
        <w:pStyle w:val="ListParagraph"/>
        <w:numPr>
          <w:ilvl w:val="0"/>
          <w:numId w:val="1"/>
        </w:numPr>
      </w:pPr>
      <w:r>
        <w:t>1,845</w:t>
      </w:r>
      <w:r w:rsidR="00A707CD" w:rsidRPr="001E2CB1">
        <w:t xml:space="preserve"> programs offered</w:t>
      </w:r>
    </w:p>
    <w:p w:rsidR="00AB4F75" w:rsidRPr="00560001" w:rsidRDefault="003215BB" w:rsidP="00F24277">
      <w:pPr>
        <w:pStyle w:val="ListParagraph"/>
        <w:numPr>
          <w:ilvl w:val="0"/>
          <w:numId w:val="1"/>
        </w:numPr>
      </w:pPr>
      <w:r>
        <w:t>40,821</w:t>
      </w:r>
      <w:r w:rsidR="00A707CD" w:rsidRPr="00560001">
        <w:t xml:space="preserve"> in program attendance.</w:t>
      </w:r>
    </w:p>
    <w:p w:rsidR="00A707CD" w:rsidRPr="00AB4F75" w:rsidRDefault="003215BB" w:rsidP="00F24277">
      <w:pPr>
        <w:pStyle w:val="ListParagraph"/>
        <w:numPr>
          <w:ilvl w:val="0"/>
          <w:numId w:val="1"/>
        </w:numPr>
      </w:pPr>
      <w:r>
        <w:t>115,165</w:t>
      </w:r>
      <w:r w:rsidR="00A707CD" w:rsidRPr="00AB4F75">
        <w:t xml:space="preserve"> questions were answered</w:t>
      </w:r>
    </w:p>
    <w:p w:rsidR="00A707CD" w:rsidRPr="001E2CB1" w:rsidRDefault="003215BB" w:rsidP="00F24277">
      <w:pPr>
        <w:pStyle w:val="ListParagraph"/>
        <w:numPr>
          <w:ilvl w:val="0"/>
          <w:numId w:val="1"/>
        </w:numPr>
      </w:pPr>
      <w:r>
        <w:t>107,988</w:t>
      </w:r>
      <w:r w:rsidR="00A707CD" w:rsidRPr="001E2CB1">
        <w:t xml:space="preserve"> computer bookings</w:t>
      </w:r>
      <w:r w:rsidR="00560001">
        <w:t xml:space="preserve"> </w:t>
      </w:r>
    </w:p>
    <w:p w:rsidR="00A707CD" w:rsidRPr="001E2CB1" w:rsidRDefault="00AB4F75" w:rsidP="00F24277">
      <w:pPr>
        <w:pStyle w:val="ListParagraph"/>
        <w:numPr>
          <w:ilvl w:val="0"/>
          <w:numId w:val="1"/>
        </w:numPr>
      </w:pPr>
      <w:r>
        <w:t>1,</w:t>
      </w:r>
      <w:r w:rsidR="003215BB">
        <w:t>171,055</w:t>
      </w:r>
      <w:r w:rsidR="00A707CD" w:rsidRPr="001E2CB1">
        <w:t xml:space="preserve"> </w:t>
      </w:r>
      <w:proofErr w:type="spellStart"/>
      <w:r w:rsidR="00A707CD" w:rsidRPr="001E2CB1">
        <w:t>eLibrary</w:t>
      </w:r>
      <w:proofErr w:type="spellEnd"/>
      <w:r w:rsidR="00A707CD" w:rsidRPr="001E2CB1">
        <w:t xml:space="preserve"> downloads</w:t>
      </w:r>
    </w:p>
    <w:p w:rsidR="00A707CD" w:rsidRDefault="00560001" w:rsidP="00F24277">
      <w:pPr>
        <w:pStyle w:val="ListParagraph"/>
        <w:numPr>
          <w:ilvl w:val="0"/>
          <w:numId w:val="1"/>
        </w:numPr>
      </w:pPr>
      <w:r>
        <w:t>12</w:t>
      </w:r>
      <w:r w:rsidR="003215BB">
        <w:t>,508,797</w:t>
      </w:r>
      <w:r w:rsidR="00A707CD" w:rsidRPr="001E2CB1">
        <w:t xml:space="preserve"> </w:t>
      </w:r>
      <w:proofErr w:type="spellStart"/>
      <w:r w:rsidR="00A707CD" w:rsidRPr="001E2CB1">
        <w:t>eVisits</w:t>
      </w:r>
      <w:proofErr w:type="spellEnd"/>
      <w:r w:rsidR="00A707CD" w:rsidRPr="001E2CB1">
        <w:t xml:space="preserve"> (website, catalogue sessions and social media)</w:t>
      </w:r>
    </w:p>
    <w:p w:rsidR="00A707CD" w:rsidRDefault="00AB4F75" w:rsidP="00AB4F75">
      <w:pPr>
        <w:pStyle w:val="Heading1"/>
      </w:pPr>
      <w:r>
        <w:t xml:space="preserve">Highlights of </w:t>
      </w:r>
      <w:r w:rsidR="003215BB">
        <w:t>2022</w:t>
      </w:r>
    </w:p>
    <w:p w:rsidR="003215BB" w:rsidRPr="003215BB" w:rsidRDefault="003215BB" w:rsidP="00F24277">
      <w:pPr>
        <w:pStyle w:val="ListParagraph"/>
        <w:rPr>
          <w:rFonts w:eastAsiaTheme="majorEastAsia"/>
        </w:rPr>
      </w:pPr>
      <w:r w:rsidRPr="009A0B0B">
        <w:rPr>
          <w:rFonts w:eastAsiaTheme="majorEastAsia"/>
          <w:b/>
        </w:rPr>
        <w:t>March 4</w:t>
      </w:r>
      <w:r w:rsidRPr="003215BB">
        <w:rPr>
          <w:rFonts w:eastAsiaTheme="majorEastAsia"/>
        </w:rPr>
        <w:t xml:space="preserve"> ~ 50th episode of Time to Read podcast.</w:t>
      </w:r>
    </w:p>
    <w:p w:rsidR="003215BB" w:rsidRPr="003215BB" w:rsidRDefault="003215BB" w:rsidP="00F24277">
      <w:pPr>
        <w:pStyle w:val="ListParagraph"/>
        <w:rPr>
          <w:rFonts w:eastAsiaTheme="majorEastAsia"/>
        </w:rPr>
      </w:pPr>
      <w:r w:rsidRPr="009A0B0B">
        <w:rPr>
          <w:rFonts w:eastAsiaTheme="majorEastAsia"/>
          <w:b/>
        </w:rPr>
        <w:t>April 2</w:t>
      </w:r>
      <w:r w:rsidRPr="003215BB">
        <w:rPr>
          <w:rFonts w:eastAsiaTheme="majorEastAsia"/>
        </w:rPr>
        <w:t xml:space="preserve"> ~ </w:t>
      </w:r>
      <w:proofErr w:type="spellStart"/>
      <w:r w:rsidRPr="003215BB">
        <w:rPr>
          <w:rFonts w:eastAsiaTheme="majorEastAsia"/>
        </w:rPr>
        <w:t>ideaMILL</w:t>
      </w:r>
      <w:proofErr w:type="spellEnd"/>
      <w:r w:rsidRPr="003215BB">
        <w:rPr>
          <w:rFonts w:eastAsiaTheme="majorEastAsia"/>
        </w:rPr>
        <w:t xml:space="preserve"> reopens to the public.</w:t>
      </w:r>
    </w:p>
    <w:p w:rsidR="003215BB" w:rsidRPr="003215BB" w:rsidRDefault="003215BB" w:rsidP="00F24277">
      <w:pPr>
        <w:pStyle w:val="ListParagraph"/>
        <w:rPr>
          <w:rFonts w:eastAsiaTheme="majorEastAsia"/>
        </w:rPr>
      </w:pPr>
      <w:r w:rsidRPr="009A0B0B">
        <w:rPr>
          <w:rFonts w:eastAsiaTheme="majorEastAsia"/>
          <w:b/>
        </w:rPr>
        <w:t>April 11</w:t>
      </w:r>
      <w:r w:rsidRPr="003215BB">
        <w:rPr>
          <w:rFonts w:eastAsiaTheme="majorEastAsia"/>
        </w:rPr>
        <w:t xml:space="preserve"> ~ In-person Early Literacy programs return to branches.</w:t>
      </w:r>
    </w:p>
    <w:p w:rsidR="003215BB" w:rsidRPr="003215BB" w:rsidRDefault="003215BB" w:rsidP="00F24277">
      <w:pPr>
        <w:pStyle w:val="ListParagraph"/>
        <w:rPr>
          <w:rFonts w:eastAsiaTheme="majorEastAsia"/>
        </w:rPr>
      </w:pPr>
      <w:r w:rsidRPr="009A0B0B">
        <w:rPr>
          <w:rFonts w:eastAsiaTheme="majorEastAsia"/>
          <w:b/>
        </w:rPr>
        <w:t>April 22</w:t>
      </w:r>
      <w:r w:rsidRPr="003215BB">
        <w:rPr>
          <w:rFonts w:eastAsiaTheme="majorEastAsia"/>
        </w:rPr>
        <w:t xml:space="preserve"> ~ Munroe Library reopens after interior renovations.</w:t>
      </w:r>
    </w:p>
    <w:p w:rsidR="003215BB" w:rsidRPr="003215BB" w:rsidRDefault="003215BB" w:rsidP="00F24277">
      <w:pPr>
        <w:pStyle w:val="ListParagraph"/>
        <w:rPr>
          <w:rFonts w:eastAsiaTheme="majorEastAsia"/>
        </w:rPr>
      </w:pPr>
      <w:r w:rsidRPr="009A0B0B">
        <w:rPr>
          <w:rFonts w:eastAsiaTheme="majorEastAsia"/>
          <w:b/>
        </w:rPr>
        <w:t>April 25</w:t>
      </w:r>
      <w:r w:rsidRPr="003215BB">
        <w:rPr>
          <w:rFonts w:eastAsiaTheme="majorEastAsia"/>
        </w:rPr>
        <w:t xml:space="preserve"> ~ Community Connections opens. Community</w:t>
      </w:r>
      <w:r w:rsidRPr="003215BB">
        <w:rPr>
          <w:rFonts w:eastAsiaTheme="majorEastAsia"/>
        </w:rPr>
        <w:t xml:space="preserve"> </w:t>
      </w:r>
      <w:r w:rsidRPr="003215BB">
        <w:rPr>
          <w:rFonts w:eastAsiaTheme="majorEastAsia"/>
        </w:rPr>
        <w:t>Connections is a welcoming new space in Millennium Library</w:t>
      </w:r>
      <w:r w:rsidRPr="003215BB">
        <w:rPr>
          <w:rFonts w:eastAsiaTheme="majorEastAsia"/>
        </w:rPr>
        <w:t xml:space="preserve"> </w:t>
      </w:r>
      <w:r w:rsidRPr="003215BB">
        <w:rPr>
          <w:rFonts w:eastAsiaTheme="majorEastAsia"/>
        </w:rPr>
        <w:t>that connects individuals with library services and social</w:t>
      </w:r>
      <w:r w:rsidRPr="003215BB">
        <w:rPr>
          <w:rFonts w:eastAsiaTheme="majorEastAsia"/>
        </w:rPr>
        <w:t xml:space="preserve"> </w:t>
      </w:r>
      <w:r w:rsidRPr="003215BB">
        <w:rPr>
          <w:rFonts w:eastAsiaTheme="majorEastAsia"/>
        </w:rPr>
        <w:t>supports.</w:t>
      </w:r>
    </w:p>
    <w:p w:rsidR="003215BB" w:rsidRPr="003215BB" w:rsidRDefault="003215BB" w:rsidP="00F24277">
      <w:pPr>
        <w:pStyle w:val="ListParagraph"/>
        <w:rPr>
          <w:rFonts w:eastAsiaTheme="majorEastAsia"/>
        </w:rPr>
      </w:pPr>
      <w:r w:rsidRPr="009A0B0B">
        <w:rPr>
          <w:rFonts w:eastAsiaTheme="majorEastAsia"/>
          <w:b/>
        </w:rPr>
        <w:t>May 24</w:t>
      </w:r>
      <w:r w:rsidRPr="003215BB">
        <w:rPr>
          <w:rFonts w:eastAsiaTheme="majorEastAsia"/>
        </w:rPr>
        <w:t xml:space="preserve"> ~ Cornish reopens after repairs to HVAC system which</w:t>
      </w:r>
      <w:r w:rsidRPr="003215BB">
        <w:rPr>
          <w:rFonts w:eastAsiaTheme="majorEastAsia"/>
        </w:rPr>
        <w:t xml:space="preserve"> </w:t>
      </w:r>
      <w:r w:rsidRPr="003215BB">
        <w:rPr>
          <w:rFonts w:eastAsiaTheme="majorEastAsia"/>
        </w:rPr>
        <w:t>closed the library in January.</w:t>
      </w:r>
    </w:p>
    <w:p w:rsidR="003215BB" w:rsidRPr="003215BB" w:rsidRDefault="003215BB" w:rsidP="00F24277">
      <w:pPr>
        <w:pStyle w:val="ListParagraph"/>
        <w:rPr>
          <w:rFonts w:eastAsiaTheme="majorEastAsia"/>
        </w:rPr>
      </w:pPr>
      <w:r w:rsidRPr="009A0B0B">
        <w:rPr>
          <w:rFonts w:eastAsiaTheme="majorEastAsia"/>
          <w:b/>
        </w:rPr>
        <w:t>June 5</w:t>
      </w:r>
      <w:r w:rsidRPr="003215BB">
        <w:rPr>
          <w:rFonts w:eastAsiaTheme="majorEastAsia"/>
        </w:rPr>
        <w:t xml:space="preserve"> ~ WPL attended the Pride Parade and had a fabulous time!</w:t>
      </w:r>
    </w:p>
    <w:p w:rsidR="003215BB" w:rsidRPr="003215BB" w:rsidRDefault="003215BB" w:rsidP="00F24277">
      <w:pPr>
        <w:pStyle w:val="ListParagraph"/>
        <w:rPr>
          <w:rFonts w:eastAsiaTheme="majorEastAsia"/>
        </w:rPr>
      </w:pPr>
      <w:r w:rsidRPr="009A0B0B">
        <w:rPr>
          <w:rFonts w:eastAsiaTheme="majorEastAsia"/>
          <w:b/>
        </w:rPr>
        <w:t>June 17</w:t>
      </w:r>
      <w:r w:rsidRPr="003215BB">
        <w:rPr>
          <w:rFonts w:eastAsiaTheme="majorEastAsia"/>
        </w:rPr>
        <w:t xml:space="preserve"> ~ TD Summer Reading Club launches with the national</w:t>
      </w:r>
      <w:r w:rsidRPr="003215BB">
        <w:rPr>
          <w:rFonts w:eastAsiaTheme="majorEastAsia"/>
        </w:rPr>
        <w:t xml:space="preserve"> </w:t>
      </w:r>
      <w:r w:rsidRPr="003215BB">
        <w:rPr>
          <w:rFonts w:eastAsiaTheme="majorEastAsia"/>
        </w:rPr>
        <w:t>program kick-off at Bill and Helen Norrie Library joined by</w:t>
      </w:r>
      <w:r w:rsidRPr="003215BB">
        <w:rPr>
          <w:rFonts w:eastAsiaTheme="majorEastAsia"/>
        </w:rPr>
        <w:t xml:space="preserve"> </w:t>
      </w:r>
      <w:r w:rsidRPr="003215BB">
        <w:rPr>
          <w:rFonts w:eastAsiaTheme="majorEastAsia"/>
        </w:rPr>
        <w:t xml:space="preserve">members of City Council, TD Summer Reading </w:t>
      </w:r>
      <w:proofErr w:type="spellStart"/>
      <w:r w:rsidRPr="003215BB">
        <w:rPr>
          <w:rFonts w:eastAsiaTheme="majorEastAsia"/>
        </w:rPr>
        <w:t>Club_Club</w:t>
      </w:r>
      <w:proofErr w:type="spellEnd"/>
      <w:r w:rsidRPr="003215BB">
        <w:rPr>
          <w:rFonts w:eastAsiaTheme="majorEastAsia"/>
        </w:rPr>
        <w:t xml:space="preserve"> de</w:t>
      </w:r>
      <w:r w:rsidRPr="003215BB">
        <w:rPr>
          <w:rFonts w:eastAsiaTheme="majorEastAsia"/>
        </w:rPr>
        <w:t xml:space="preserve"> </w:t>
      </w:r>
      <w:r w:rsidRPr="003215BB">
        <w:rPr>
          <w:rFonts w:eastAsiaTheme="majorEastAsia"/>
        </w:rPr>
        <w:t xml:space="preserve">lecture </w:t>
      </w:r>
      <w:proofErr w:type="spellStart"/>
      <w:r w:rsidRPr="003215BB">
        <w:rPr>
          <w:rFonts w:eastAsiaTheme="majorEastAsia"/>
        </w:rPr>
        <w:t>d’été</w:t>
      </w:r>
      <w:proofErr w:type="spellEnd"/>
      <w:r w:rsidRPr="003215BB">
        <w:rPr>
          <w:rFonts w:eastAsiaTheme="majorEastAsia"/>
        </w:rPr>
        <w:t xml:space="preserve"> TD, and artist/web comic </w:t>
      </w:r>
      <w:proofErr w:type="spellStart"/>
      <w:r w:rsidRPr="003215BB">
        <w:rPr>
          <w:rFonts w:eastAsiaTheme="majorEastAsia"/>
        </w:rPr>
        <w:t>Soyeon</w:t>
      </w:r>
      <w:proofErr w:type="spellEnd"/>
      <w:r w:rsidRPr="003215BB">
        <w:rPr>
          <w:rFonts w:eastAsiaTheme="majorEastAsia"/>
        </w:rPr>
        <w:t xml:space="preserve"> Kim. Over the</w:t>
      </w:r>
      <w:r w:rsidRPr="003215BB">
        <w:rPr>
          <w:rFonts w:eastAsiaTheme="majorEastAsia"/>
        </w:rPr>
        <w:t xml:space="preserve"> </w:t>
      </w:r>
      <w:r w:rsidRPr="003215BB">
        <w:rPr>
          <w:rFonts w:eastAsiaTheme="majorEastAsia"/>
        </w:rPr>
        <w:t>summer, 14,169 children received reading kits. 193 programs</w:t>
      </w:r>
      <w:r w:rsidRPr="003215BB">
        <w:rPr>
          <w:rFonts w:eastAsiaTheme="majorEastAsia"/>
        </w:rPr>
        <w:t xml:space="preserve"> </w:t>
      </w:r>
      <w:r w:rsidRPr="003215BB">
        <w:rPr>
          <w:rFonts w:eastAsiaTheme="majorEastAsia"/>
        </w:rPr>
        <w:t>were offered in July and August with 3,900 attendees.</w:t>
      </w:r>
      <w:r w:rsidRPr="003215BB">
        <w:rPr>
          <w:rFonts w:eastAsiaTheme="majorEastAsia"/>
        </w:rPr>
        <w:br/>
      </w:r>
      <w:r w:rsidRPr="003215BB">
        <w:rPr>
          <w:rFonts w:eastAsiaTheme="majorEastAsia"/>
        </w:rPr>
        <w:t xml:space="preserve">~ TD SRC </w:t>
      </w:r>
      <w:proofErr w:type="spellStart"/>
      <w:r w:rsidRPr="003215BB">
        <w:rPr>
          <w:rFonts w:eastAsiaTheme="majorEastAsia"/>
        </w:rPr>
        <w:t>Storywalks</w:t>
      </w:r>
      <w:proofErr w:type="spellEnd"/>
      <w:r w:rsidRPr="003215BB">
        <w:rPr>
          <w:rFonts w:eastAsiaTheme="majorEastAsia"/>
        </w:rPr>
        <w:t>® return to branches.</w:t>
      </w:r>
      <w:r w:rsidRPr="003215BB">
        <w:rPr>
          <w:rFonts w:eastAsiaTheme="majorEastAsia"/>
        </w:rPr>
        <w:br/>
      </w:r>
      <w:r w:rsidRPr="003215BB">
        <w:rPr>
          <w:rFonts w:eastAsiaTheme="majorEastAsia"/>
        </w:rPr>
        <w:t>~ Teen Summer Challenge launches.</w:t>
      </w:r>
    </w:p>
    <w:p w:rsidR="003215BB" w:rsidRPr="003215BB" w:rsidRDefault="003215BB" w:rsidP="00F24277">
      <w:pPr>
        <w:pStyle w:val="ListParagraph"/>
        <w:rPr>
          <w:rFonts w:eastAsiaTheme="majorEastAsia"/>
        </w:rPr>
      </w:pPr>
      <w:r w:rsidRPr="009A0B0B">
        <w:rPr>
          <w:rFonts w:eastAsiaTheme="majorEastAsia"/>
          <w:b/>
        </w:rPr>
        <w:t>July</w:t>
      </w:r>
      <w:r w:rsidRPr="003215BB">
        <w:rPr>
          <w:rFonts w:eastAsiaTheme="majorEastAsia"/>
        </w:rPr>
        <w:t xml:space="preserve"> ~ Computer workshops for adults and other in-person</w:t>
      </w:r>
      <w:r w:rsidRPr="003215BB">
        <w:rPr>
          <w:rFonts w:eastAsiaTheme="majorEastAsia"/>
        </w:rPr>
        <w:t xml:space="preserve"> </w:t>
      </w:r>
      <w:r w:rsidRPr="003215BB">
        <w:rPr>
          <w:rFonts w:eastAsiaTheme="majorEastAsia"/>
        </w:rPr>
        <w:t>programs return to branches.</w:t>
      </w:r>
    </w:p>
    <w:p w:rsidR="003215BB" w:rsidRPr="003215BB" w:rsidRDefault="003215BB" w:rsidP="00F24277">
      <w:pPr>
        <w:pStyle w:val="ListParagraph"/>
        <w:rPr>
          <w:rFonts w:eastAsiaTheme="majorEastAsia"/>
        </w:rPr>
      </w:pPr>
      <w:r w:rsidRPr="001737BD">
        <w:rPr>
          <w:rFonts w:eastAsiaTheme="majorEastAsia"/>
          <w:b/>
        </w:rPr>
        <w:t>July 31</w:t>
      </w:r>
      <w:r w:rsidRPr="003215BB">
        <w:rPr>
          <w:rFonts w:eastAsiaTheme="majorEastAsia"/>
        </w:rPr>
        <w:t xml:space="preserve"> ~ Library Day at the Ballpark with the Winnipeg Goldeyes.</w:t>
      </w:r>
    </w:p>
    <w:p w:rsidR="003215BB" w:rsidRPr="00AB51BD" w:rsidRDefault="003215BB" w:rsidP="00F24277">
      <w:pPr>
        <w:pStyle w:val="ListParagraph"/>
        <w:rPr>
          <w:rFonts w:eastAsiaTheme="majorEastAsia"/>
        </w:rPr>
      </w:pPr>
      <w:r w:rsidRPr="001737BD">
        <w:rPr>
          <w:rFonts w:eastAsiaTheme="majorEastAsia"/>
          <w:b/>
        </w:rPr>
        <w:t>August 15</w:t>
      </w:r>
      <w:r w:rsidRPr="00AB51BD">
        <w:rPr>
          <w:rFonts w:eastAsiaTheme="majorEastAsia"/>
        </w:rPr>
        <w:t xml:space="preserve"> ~ Renovations began to replace carpet tiles and</w:t>
      </w:r>
      <w:r w:rsidR="00AB51BD" w:rsidRPr="00AB51BD">
        <w:rPr>
          <w:rFonts w:eastAsiaTheme="majorEastAsia"/>
        </w:rPr>
        <w:t xml:space="preserve"> </w:t>
      </w:r>
      <w:r w:rsidRPr="00AB51BD">
        <w:rPr>
          <w:rFonts w:eastAsiaTheme="majorEastAsia"/>
        </w:rPr>
        <w:t>lighting at the Millennium library one floor at a time.</w:t>
      </w:r>
    </w:p>
    <w:p w:rsidR="003215BB" w:rsidRPr="009A0B0B" w:rsidRDefault="003215BB" w:rsidP="00F24277">
      <w:pPr>
        <w:pStyle w:val="ListParagraph"/>
        <w:rPr>
          <w:rFonts w:eastAsiaTheme="majorEastAsia"/>
        </w:rPr>
      </w:pPr>
      <w:r w:rsidRPr="001737BD">
        <w:rPr>
          <w:rFonts w:eastAsiaTheme="majorEastAsia"/>
          <w:b/>
        </w:rPr>
        <w:t>September</w:t>
      </w:r>
      <w:r w:rsidRPr="009A0B0B">
        <w:rPr>
          <w:rFonts w:eastAsiaTheme="majorEastAsia"/>
        </w:rPr>
        <w:t xml:space="preserve"> ~ Displays across all 20 libraries on Truth and</w:t>
      </w:r>
      <w:r w:rsidR="009A0B0B" w:rsidRPr="009A0B0B">
        <w:rPr>
          <w:rFonts w:eastAsiaTheme="majorEastAsia"/>
        </w:rPr>
        <w:t xml:space="preserve"> </w:t>
      </w:r>
      <w:r w:rsidRPr="009A0B0B">
        <w:rPr>
          <w:rFonts w:eastAsiaTheme="majorEastAsia"/>
        </w:rPr>
        <w:t>Reconciliation.</w:t>
      </w:r>
    </w:p>
    <w:p w:rsidR="003215BB" w:rsidRPr="00B1062E" w:rsidRDefault="003215BB" w:rsidP="00B1062E">
      <w:pPr>
        <w:pStyle w:val="ListParagraph"/>
        <w:rPr>
          <w:rFonts w:eastAsiaTheme="majorEastAsia"/>
        </w:rPr>
      </w:pPr>
      <w:r w:rsidRPr="00B1062E">
        <w:rPr>
          <w:rFonts w:eastAsiaTheme="majorEastAsia"/>
          <w:b/>
        </w:rPr>
        <w:t>October 3</w:t>
      </w:r>
      <w:r w:rsidRPr="00B1062E">
        <w:rPr>
          <w:rFonts w:eastAsiaTheme="majorEastAsia"/>
        </w:rPr>
        <w:t xml:space="preserve"> ~ Frances </w:t>
      </w:r>
      <w:proofErr w:type="spellStart"/>
      <w:r w:rsidRPr="00B1062E">
        <w:rPr>
          <w:rFonts w:eastAsiaTheme="majorEastAsia"/>
        </w:rPr>
        <w:t>Koncan</w:t>
      </w:r>
      <w:proofErr w:type="spellEnd"/>
      <w:r w:rsidRPr="00B1062E">
        <w:rPr>
          <w:rFonts w:eastAsiaTheme="majorEastAsia"/>
        </w:rPr>
        <w:t xml:space="preserve"> starts as Winnipeg Public</w:t>
      </w:r>
      <w:r w:rsidR="009A0B0B" w:rsidRPr="00B1062E">
        <w:rPr>
          <w:rFonts w:eastAsiaTheme="majorEastAsia"/>
        </w:rPr>
        <w:t xml:space="preserve"> </w:t>
      </w:r>
      <w:r w:rsidRPr="00B1062E">
        <w:rPr>
          <w:rFonts w:eastAsiaTheme="majorEastAsia"/>
        </w:rPr>
        <w:t>Library’s 33rd Writer-in-Residence for 2022-2023. The Writer</w:t>
      </w:r>
      <w:r w:rsidR="009A0B0B" w:rsidRPr="00B1062E">
        <w:rPr>
          <w:rFonts w:eastAsiaTheme="majorEastAsia"/>
        </w:rPr>
        <w:t>-</w:t>
      </w:r>
      <w:r w:rsidRPr="00B1062E">
        <w:rPr>
          <w:rFonts w:eastAsiaTheme="majorEastAsia"/>
        </w:rPr>
        <w:t>in-Residence program provides one-on-one mentorship and</w:t>
      </w:r>
      <w:r w:rsidR="009A0B0B" w:rsidRPr="00B1062E">
        <w:rPr>
          <w:rFonts w:eastAsiaTheme="majorEastAsia"/>
        </w:rPr>
        <w:t xml:space="preserve"> </w:t>
      </w:r>
      <w:r w:rsidRPr="00B1062E">
        <w:rPr>
          <w:rFonts w:eastAsiaTheme="majorEastAsia"/>
        </w:rPr>
        <w:t>public workshops to hundreds of emerging writers of all</w:t>
      </w:r>
      <w:r w:rsidR="009A0B0B" w:rsidRPr="00B1062E">
        <w:rPr>
          <w:rFonts w:eastAsiaTheme="majorEastAsia"/>
        </w:rPr>
        <w:t xml:space="preserve"> </w:t>
      </w:r>
      <w:r w:rsidRPr="00B1062E">
        <w:rPr>
          <w:rFonts w:eastAsiaTheme="majorEastAsia"/>
        </w:rPr>
        <w:t>genres.</w:t>
      </w:r>
      <w:r w:rsidR="00B1062E" w:rsidRPr="00B1062E">
        <w:rPr>
          <w:rFonts w:eastAsiaTheme="majorEastAsia"/>
        </w:rPr>
        <w:t xml:space="preserve"> </w:t>
      </w:r>
      <w:r w:rsidR="00B1062E" w:rsidRPr="00B1062E">
        <w:rPr>
          <w:rFonts w:eastAsiaTheme="majorEastAsia"/>
        </w:rPr>
        <w:t xml:space="preserve">Writer-in-Resident Frances </w:t>
      </w:r>
      <w:proofErr w:type="spellStart"/>
      <w:r w:rsidR="00B1062E" w:rsidRPr="00B1062E">
        <w:rPr>
          <w:rFonts w:eastAsiaTheme="majorEastAsia"/>
        </w:rPr>
        <w:t>Koncan</w:t>
      </w:r>
      <w:proofErr w:type="spellEnd"/>
      <w:r w:rsidR="00B1062E" w:rsidRPr="00B1062E">
        <w:rPr>
          <w:rFonts w:eastAsiaTheme="majorEastAsia"/>
        </w:rPr>
        <w:t xml:space="preserve"> is an</w:t>
      </w:r>
      <w:r w:rsidR="00B1062E" w:rsidRPr="00B1062E">
        <w:rPr>
          <w:rFonts w:eastAsiaTheme="majorEastAsia"/>
        </w:rPr>
        <w:t xml:space="preserve"> </w:t>
      </w:r>
      <w:r w:rsidR="00B1062E" w:rsidRPr="00B1062E">
        <w:rPr>
          <w:rFonts w:eastAsiaTheme="majorEastAsia"/>
        </w:rPr>
        <w:t>innovative, award-winning Anishinaabe</w:t>
      </w:r>
      <w:r w:rsidR="00B1062E" w:rsidRPr="00B1062E">
        <w:rPr>
          <w:rFonts w:eastAsiaTheme="majorEastAsia"/>
        </w:rPr>
        <w:t xml:space="preserve"> </w:t>
      </w:r>
      <w:r w:rsidR="00B1062E" w:rsidRPr="00B1062E">
        <w:rPr>
          <w:rFonts w:eastAsiaTheme="majorEastAsia"/>
        </w:rPr>
        <w:t>playwright and director. She has also worked as a</w:t>
      </w:r>
      <w:r w:rsidR="00B1062E" w:rsidRPr="00B1062E">
        <w:rPr>
          <w:rFonts w:eastAsiaTheme="majorEastAsia"/>
        </w:rPr>
        <w:t xml:space="preserve"> </w:t>
      </w:r>
      <w:r w:rsidR="00B1062E" w:rsidRPr="00B1062E">
        <w:rPr>
          <w:rFonts w:eastAsiaTheme="majorEastAsia"/>
        </w:rPr>
        <w:t>freelance journalist and arts consultant.</w:t>
      </w:r>
    </w:p>
    <w:p w:rsidR="003215BB" w:rsidRPr="009A0B0B" w:rsidRDefault="003215BB" w:rsidP="00F24277">
      <w:pPr>
        <w:pStyle w:val="ListParagraph"/>
        <w:rPr>
          <w:rFonts w:eastAsiaTheme="majorEastAsia"/>
        </w:rPr>
      </w:pPr>
      <w:r w:rsidRPr="001737BD">
        <w:rPr>
          <w:rFonts w:eastAsiaTheme="majorEastAsia"/>
          <w:b/>
        </w:rPr>
        <w:t>October 4</w:t>
      </w:r>
      <w:r w:rsidRPr="009A0B0B">
        <w:rPr>
          <w:rFonts w:eastAsiaTheme="majorEastAsia"/>
        </w:rPr>
        <w:t xml:space="preserve"> ~ WPL branches recognized Missing and Murdered</w:t>
      </w:r>
      <w:r w:rsidR="009A0B0B" w:rsidRPr="009A0B0B">
        <w:rPr>
          <w:rFonts w:eastAsiaTheme="majorEastAsia"/>
        </w:rPr>
        <w:t xml:space="preserve"> </w:t>
      </w:r>
      <w:r w:rsidRPr="009A0B0B">
        <w:rPr>
          <w:rFonts w:eastAsiaTheme="majorEastAsia"/>
        </w:rPr>
        <w:t>Indigenous Women and Girls Awareness Day by hanging red</w:t>
      </w:r>
      <w:r w:rsidR="009A0B0B" w:rsidRPr="009A0B0B">
        <w:rPr>
          <w:rFonts w:eastAsiaTheme="majorEastAsia"/>
        </w:rPr>
        <w:t xml:space="preserve"> </w:t>
      </w:r>
      <w:r w:rsidRPr="009A0B0B">
        <w:rPr>
          <w:rFonts w:eastAsiaTheme="majorEastAsia"/>
        </w:rPr>
        <w:t xml:space="preserve">dresses in their locations to </w:t>
      </w:r>
      <w:proofErr w:type="spellStart"/>
      <w:r w:rsidRPr="009A0B0B">
        <w:rPr>
          <w:rFonts w:eastAsiaTheme="majorEastAsia"/>
        </w:rPr>
        <w:t>honour</w:t>
      </w:r>
      <w:proofErr w:type="spellEnd"/>
      <w:r w:rsidRPr="009A0B0B">
        <w:rPr>
          <w:rFonts w:eastAsiaTheme="majorEastAsia"/>
        </w:rPr>
        <w:t xml:space="preserve"> families and survivors of</w:t>
      </w:r>
      <w:r w:rsidR="009A0B0B" w:rsidRPr="009A0B0B">
        <w:rPr>
          <w:rFonts w:eastAsiaTheme="majorEastAsia"/>
        </w:rPr>
        <w:t xml:space="preserve"> </w:t>
      </w:r>
      <w:r w:rsidRPr="009A0B0B">
        <w:rPr>
          <w:rFonts w:eastAsiaTheme="majorEastAsia"/>
        </w:rPr>
        <w:t>missing and murdered Indigenous women, girls, and two</w:t>
      </w:r>
      <w:r w:rsidR="009A0B0B" w:rsidRPr="009A0B0B">
        <w:rPr>
          <w:rFonts w:eastAsiaTheme="majorEastAsia"/>
        </w:rPr>
        <w:t>-</w:t>
      </w:r>
      <w:r w:rsidRPr="009A0B0B">
        <w:rPr>
          <w:rFonts w:eastAsiaTheme="majorEastAsia"/>
        </w:rPr>
        <w:t>spirited</w:t>
      </w:r>
      <w:r w:rsidR="009A0B0B" w:rsidRPr="009A0B0B">
        <w:rPr>
          <w:rFonts w:eastAsiaTheme="majorEastAsia"/>
        </w:rPr>
        <w:t xml:space="preserve"> </w:t>
      </w:r>
      <w:r w:rsidRPr="009A0B0B">
        <w:rPr>
          <w:rFonts w:eastAsiaTheme="majorEastAsia"/>
        </w:rPr>
        <w:t>peoples.</w:t>
      </w:r>
    </w:p>
    <w:p w:rsidR="003215BB" w:rsidRPr="009A0B0B" w:rsidRDefault="003215BB" w:rsidP="00F24277">
      <w:pPr>
        <w:pStyle w:val="ListParagraph"/>
        <w:rPr>
          <w:rFonts w:eastAsiaTheme="majorEastAsia"/>
        </w:rPr>
      </w:pPr>
      <w:r w:rsidRPr="001737BD">
        <w:rPr>
          <w:rFonts w:eastAsiaTheme="majorEastAsia"/>
          <w:b/>
        </w:rPr>
        <w:t>October 14</w:t>
      </w:r>
      <w:r w:rsidRPr="009A0B0B">
        <w:rPr>
          <w:rFonts w:eastAsiaTheme="majorEastAsia"/>
        </w:rPr>
        <w:t xml:space="preserve"> ~ Free menstrual products are available at</w:t>
      </w:r>
      <w:r w:rsidR="009A0B0B" w:rsidRPr="009A0B0B">
        <w:rPr>
          <w:rFonts w:eastAsiaTheme="majorEastAsia"/>
        </w:rPr>
        <w:t xml:space="preserve"> </w:t>
      </w:r>
      <w:r w:rsidRPr="009A0B0B">
        <w:rPr>
          <w:rFonts w:eastAsiaTheme="majorEastAsia"/>
        </w:rPr>
        <w:t>Millennium Library as part of the City of Winnipeg’s pilot</w:t>
      </w:r>
      <w:r w:rsidR="009A0B0B" w:rsidRPr="009A0B0B">
        <w:rPr>
          <w:rFonts w:eastAsiaTheme="majorEastAsia"/>
        </w:rPr>
        <w:t xml:space="preserve"> </w:t>
      </w:r>
      <w:r w:rsidRPr="009A0B0B">
        <w:rPr>
          <w:rFonts w:eastAsiaTheme="majorEastAsia"/>
        </w:rPr>
        <w:t>project. Menstrual products provided by the WPL Board are</w:t>
      </w:r>
      <w:r w:rsidR="009A0B0B" w:rsidRPr="009A0B0B">
        <w:rPr>
          <w:rFonts w:eastAsiaTheme="majorEastAsia"/>
        </w:rPr>
        <w:t xml:space="preserve"> </w:t>
      </w:r>
      <w:r w:rsidRPr="009A0B0B">
        <w:rPr>
          <w:rFonts w:eastAsiaTheme="majorEastAsia"/>
        </w:rPr>
        <w:t>also available at service desks of all WPL branches.</w:t>
      </w:r>
    </w:p>
    <w:p w:rsidR="003215BB" w:rsidRPr="009A0B0B" w:rsidRDefault="003215BB" w:rsidP="00F24277">
      <w:pPr>
        <w:pStyle w:val="ListParagraph"/>
        <w:rPr>
          <w:rFonts w:eastAsiaTheme="majorEastAsia"/>
        </w:rPr>
      </w:pPr>
      <w:r w:rsidRPr="001737BD">
        <w:rPr>
          <w:rFonts w:eastAsiaTheme="majorEastAsia"/>
          <w:b/>
        </w:rPr>
        <w:t>October 24</w:t>
      </w:r>
      <w:r w:rsidRPr="009A0B0B">
        <w:rPr>
          <w:rFonts w:eastAsiaTheme="majorEastAsia"/>
        </w:rPr>
        <w:t xml:space="preserve"> ~ Started accepting applications for the 2023</w:t>
      </w:r>
      <w:r w:rsidR="009A0B0B" w:rsidRPr="009A0B0B">
        <w:rPr>
          <w:rFonts w:eastAsiaTheme="majorEastAsia"/>
        </w:rPr>
        <w:t xml:space="preserve"> </w:t>
      </w:r>
      <w:r w:rsidRPr="009A0B0B">
        <w:rPr>
          <w:rFonts w:eastAsiaTheme="majorEastAsia"/>
        </w:rPr>
        <w:t>Makers-in-Residence program.</w:t>
      </w:r>
    </w:p>
    <w:p w:rsidR="003215BB" w:rsidRPr="009A0B0B" w:rsidRDefault="003215BB" w:rsidP="00F24277">
      <w:pPr>
        <w:pStyle w:val="ListParagraph"/>
        <w:rPr>
          <w:rFonts w:eastAsiaTheme="majorEastAsia"/>
        </w:rPr>
      </w:pPr>
      <w:r w:rsidRPr="009A0B0B">
        <w:rPr>
          <w:rFonts w:eastAsiaTheme="majorEastAsia"/>
          <w:b/>
        </w:rPr>
        <w:t>November 1</w:t>
      </w:r>
      <w:r w:rsidRPr="009A0B0B">
        <w:rPr>
          <w:rFonts w:eastAsiaTheme="majorEastAsia"/>
        </w:rPr>
        <w:t xml:space="preserve"> ~ Grey Cup program at Munroe Library with</w:t>
      </w:r>
      <w:r w:rsidR="009A0B0B" w:rsidRPr="009A0B0B">
        <w:rPr>
          <w:rFonts w:eastAsiaTheme="majorEastAsia"/>
        </w:rPr>
        <w:t xml:space="preserve"> </w:t>
      </w:r>
      <w:r w:rsidRPr="009A0B0B">
        <w:rPr>
          <w:rFonts w:eastAsiaTheme="majorEastAsia"/>
        </w:rPr>
        <w:t xml:space="preserve">Hampstead School students featuring Jeff </w:t>
      </w:r>
      <w:proofErr w:type="spellStart"/>
      <w:r w:rsidRPr="009A0B0B">
        <w:rPr>
          <w:rFonts w:eastAsiaTheme="majorEastAsia"/>
        </w:rPr>
        <w:t>McWhinney’s</w:t>
      </w:r>
      <w:proofErr w:type="spellEnd"/>
      <w:r w:rsidRPr="009A0B0B">
        <w:rPr>
          <w:rFonts w:eastAsiaTheme="majorEastAsia"/>
        </w:rPr>
        <w:t xml:space="preserve"> book</w:t>
      </w:r>
      <w:r w:rsidR="009A0B0B">
        <w:rPr>
          <w:rFonts w:eastAsiaTheme="majorEastAsia"/>
        </w:rPr>
        <w:t xml:space="preserve"> </w:t>
      </w:r>
      <w:r w:rsidRPr="009A0B0B">
        <w:rPr>
          <w:i/>
        </w:rPr>
        <w:t>Not Without My Teammates</w:t>
      </w:r>
      <w:r w:rsidRPr="009A0B0B">
        <w:rPr>
          <w:rFonts w:asciiTheme="majorHAnsi" w:eastAsiaTheme="majorEastAsia" w:hAnsiTheme="majorHAnsi" w:cstheme="majorBidi"/>
          <w:b/>
          <w:bCs/>
          <w:color w:val="000000" w:themeColor="text1"/>
          <w:sz w:val="26"/>
          <w:szCs w:val="26"/>
        </w:rPr>
        <w:t>.</w:t>
      </w:r>
    </w:p>
    <w:p w:rsidR="00F24277" w:rsidRPr="00F24277" w:rsidRDefault="003215BB" w:rsidP="00F24277">
      <w:pPr>
        <w:pStyle w:val="ListParagraph"/>
      </w:pPr>
      <w:r w:rsidRPr="00F24277">
        <w:rPr>
          <w:rFonts w:eastAsiaTheme="majorEastAsia"/>
          <w:b/>
        </w:rPr>
        <w:t>December 4</w:t>
      </w:r>
      <w:r w:rsidRPr="00F24277">
        <w:rPr>
          <w:rFonts w:eastAsiaTheme="majorEastAsia"/>
        </w:rPr>
        <w:t xml:space="preserve"> ~ WELL Adult Literacy Program restarted. This</w:t>
      </w:r>
      <w:r w:rsidR="009A0B0B" w:rsidRPr="00F24277">
        <w:rPr>
          <w:rFonts w:eastAsiaTheme="majorEastAsia"/>
        </w:rPr>
        <w:t xml:space="preserve"> </w:t>
      </w:r>
      <w:r w:rsidRPr="00F24277">
        <w:rPr>
          <w:rFonts w:eastAsiaTheme="majorEastAsia"/>
        </w:rPr>
        <w:t>program at Harvey Smith Library is funded by the Province of</w:t>
      </w:r>
      <w:r w:rsidR="009A0B0B" w:rsidRPr="00F24277">
        <w:rPr>
          <w:rFonts w:eastAsiaTheme="majorEastAsia"/>
        </w:rPr>
        <w:t xml:space="preserve"> </w:t>
      </w:r>
      <w:r w:rsidRPr="00F24277">
        <w:rPr>
          <w:rFonts w:eastAsiaTheme="majorEastAsia"/>
        </w:rPr>
        <w:t>Manitoba and offers basic reading and writing skills for adults.</w:t>
      </w:r>
    </w:p>
    <w:p w:rsidR="00F24277" w:rsidRDefault="00F24277" w:rsidP="00F24277">
      <w:r w:rsidRPr="00F24277">
        <w:rPr>
          <w:b/>
          <w:bCs/>
        </w:rPr>
        <w:t xml:space="preserve">Ah kha </w:t>
      </w:r>
      <w:proofErr w:type="spellStart"/>
      <w:r w:rsidRPr="00F24277">
        <w:rPr>
          <w:b/>
          <w:bCs/>
        </w:rPr>
        <w:t>koo</w:t>
      </w:r>
      <w:proofErr w:type="spellEnd"/>
      <w:r w:rsidRPr="00F24277">
        <w:rPr>
          <w:b/>
          <w:bCs/>
        </w:rPr>
        <w:t xml:space="preserve"> </w:t>
      </w:r>
      <w:proofErr w:type="spellStart"/>
      <w:r w:rsidRPr="00F24277">
        <w:rPr>
          <w:b/>
          <w:bCs/>
        </w:rPr>
        <w:t>gheesh</w:t>
      </w:r>
      <w:proofErr w:type="spellEnd"/>
      <w:r w:rsidRPr="00F24277">
        <w:rPr>
          <w:b/>
          <w:bCs/>
        </w:rPr>
        <w:t xml:space="preserve"> </w:t>
      </w:r>
      <w:r w:rsidRPr="00F24277">
        <w:t>renovation completed in 2022 as part of the Millennium Library renovations that started in August.</w:t>
      </w:r>
    </w:p>
    <w:p w:rsidR="00051A97" w:rsidRDefault="00051A97" w:rsidP="00051A97">
      <w:pPr>
        <w:pStyle w:val="Heading1"/>
      </w:pPr>
      <w:r>
        <w:t>Winn</w:t>
      </w:r>
      <w:r w:rsidR="001E07CC">
        <w:t>ip</w:t>
      </w:r>
      <w:r>
        <w:t>eg Public Library Board</w:t>
      </w:r>
    </w:p>
    <w:p w:rsidR="00F24277" w:rsidRDefault="00F24277" w:rsidP="00F24277">
      <w:r>
        <w:t>In 2022, The Lib</w:t>
      </w:r>
      <w:r>
        <w:t>r</w:t>
      </w:r>
      <w:r>
        <w:t xml:space="preserve">ary Board continued work on its strategic plan goals and supported Winnipeg Public Library’s Writer-in- Residence program, Millennium Library Community Working group, and Fearless R2W’s Community Safety Host program. Library Board members helped celebrate the opening of the Community Connections space in April, and they provided funds for consumable supplies to create a welcoming environment for visitors. </w:t>
      </w:r>
    </w:p>
    <w:p w:rsidR="00F24277" w:rsidRDefault="00F24277" w:rsidP="00F24277">
      <w:r>
        <w:t>Working with WPL staff, the Board sponsored WPL’s World Storytelling series program, which featured stories presented by an Inuit Elder, as well as stories originating from Slovenia, Mexico, Iceland, South Asia, South Sudan, the Philippines, and Brazil.</w:t>
      </w:r>
    </w:p>
    <w:p w:rsidR="00F24277" w:rsidRDefault="00F24277" w:rsidP="00F24277">
      <w:r>
        <w:t>Dedication to truth, reconciliation, healing, and continued work on calls to action remains at the forefront of activities and projects. The Library Board wishes to thank Clayton Sandy, a knowledge keeper and cultural advisor from Sioux Valley Dakota First Nation, and Frances Sinclair-</w:t>
      </w:r>
      <w:proofErr w:type="spellStart"/>
      <w:r>
        <w:t>Kaspick</w:t>
      </w:r>
      <w:proofErr w:type="spellEnd"/>
      <w:r>
        <w:t xml:space="preserve"> for leading a Sharing Circle session with members and staff.</w:t>
      </w:r>
    </w:p>
    <w:p w:rsidR="00F24277" w:rsidRDefault="00F24277" w:rsidP="00F24277">
      <w:r>
        <w:t xml:space="preserve">Lastly, the Library Board acknowledges and thanks the five Library Advisory Committees for their continued work and support of their local library branches. </w:t>
      </w:r>
    </w:p>
    <w:p w:rsidR="00CF4456" w:rsidRDefault="00CF4456">
      <w:pPr>
        <w:rPr>
          <w:rFonts w:asciiTheme="majorHAnsi" w:eastAsiaTheme="majorEastAsia" w:hAnsiTheme="majorHAnsi" w:cstheme="majorBidi"/>
          <w:b/>
          <w:bCs/>
          <w:sz w:val="32"/>
          <w:szCs w:val="28"/>
        </w:rPr>
      </w:pPr>
      <w:r>
        <w:br w:type="page"/>
      </w:r>
    </w:p>
    <w:p w:rsidR="00051A97" w:rsidRDefault="00051A97" w:rsidP="00F24277">
      <w:pPr>
        <w:pStyle w:val="Heading1"/>
      </w:pPr>
      <w:r>
        <w:t>Friends of the Winnipeg Public Library</w:t>
      </w:r>
    </w:p>
    <w:p w:rsidR="00F24277" w:rsidRDefault="00F24277" w:rsidP="00F24277">
      <w:r>
        <w:t>The Friends of the Winnipeg Public Library (FWPL) were</w:t>
      </w:r>
    </w:p>
    <w:p w:rsidR="00F24277" w:rsidRDefault="00F24277" w:rsidP="00F24277">
      <w:r>
        <w:t>delighted to make a $17,500 donation this year to support</w:t>
      </w:r>
      <w:r>
        <w:t xml:space="preserve"> </w:t>
      </w:r>
      <w:r>
        <w:t>programs and special projects of the Winnipeg Public Library.</w:t>
      </w:r>
      <w:r>
        <w:t xml:space="preserve"> </w:t>
      </w:r>
      <w:r>
        <w:t>This donation lent financial support to the 2022-2023 Writer</w:t>
      </w:r>
      <w:r>
        <w:t>-</w:t>
      </w:r>
      <w:r>
        <w:t>in-Residence program, and provided funding for various Youth</w:t>
      </w:r>
      <w:r>
        <w:t xml:space="preserve"> </w:t>
      </w:r>
      <w:r>
        <w:t>Services programs being held in 2022 &amp; 2023. This brings our</w:t>
      </w:r>
      <w:r>
        <w:t xml:space="preserve"> </w:t>
      </w:r>
      <w:r>
        <w:t>total contribution to WPL since 2000 to over $354,000.</w:t>
      </w:r>
    </w:p>
    <w:p w:rsidR="00F24277" w:rsidRPr="00F24277" w:rsidRDefault="00F24277" w:rsidP="00F24277">
      <w:pPr>
        <w:rPr>
          <w:b/>
        </w:rPr>
      </w:pPr>
      <w:r w:rsidRPr="00F24277">
        <w:rPr>
          <w:b/>
        </w:rPr>
        <w:t>“The Best of Times” in 2022 for the Friends included:</w:t>
      </w:r>
    </w:p>
    <w:p w:rsidR="00F24277" w:rsidRDefault="00F24277" w:rsidP="00F24277">
      <w:pPr>
        <w:pStyle w:val="ListParagraph"/>
      </w:pPr>
      <w:r>
        <w:t>Celebrating our 30th Anniversary! We have come a long way</w:t>
      </w:r>
      <w:r>
        <w:t xml:space="preserve"> </w:t>
      </w:r>
      <w:r>
        <w:t>over these many years.</w:t>
      </w:r>
    </w:p>
    <w:p w:rsidR="00F24277" w:rsidRDefault="00F24277" w:rsidP="00F24277">
      <w:pPr>
        <w:pStyle w:val="ListParagraph"/>
      </w:pPr>
      <w:r>
        <w:t>Operating a well-received book/material cart sale in the</w:t>
      </w:r>
      <w:r>
        <w:t xml:space="preserve"> </w:t>
      </w:r>
      <w:r>
        <w:t>lobby of the Millennium Library.</w:t>
      </w:r>
    </w:p>
    <w:p w:rsidR="00F24277" w:rsidRDefault="00F24277" w:rsidP="00F24277">
      <w:pPr>
        <w:pStyle w:val="ListParagraph"/>
      </w:pPr>
      <w:r>
        <w:t>Holding our first ever Trivia Night fundraiser in October</w:t>
      </w:r>
      <w:r>
        <w:t xml:space="preserve"> </w:t>
      </w:r>
      <w:r>
        <w:t>which was a “Spooktacular Success”.</w:t>
      </w:r>
    </w:p>
    <w:p w:rsidR="00F24277" w:rsidRDefault="00F24277" w:rsidP="00F24277">
      <w:pPr>
        <w:pStyle w:val="ListParagraph"/>
      </w:pPr>
      <w:r>
        <w:t>Resuming the drop off of donations of books and materials</w:t>
      </w:r>
      <w:r>
        <w:t xml:space="preserve"> </w:t>
      </w:r>
      <w:r>
        <w:t>at library branches again, in preparation for our book</w:t>
      </w:r>
      <w:r>
        <w:t xml:space="preserve"> </w:t>
      </w:r>
      <w:r>
        <w:t>sales. Thank you to all the branch staff who assisted us by</w:t>
      </w:r>
      <w:r>
        <w:t xml:space="preserve"> </w:t>
      </w:r>
      <w:r>
        <w:t>accepting these boxes of donations on our behalf.</w:t>
      </w:r>
    </w:p>
    <w:p w:rsidR="00F24277" w:rsidRDefault="00F24277" w:rsidP="00F24277">
      <w:pPr>
        <w:pStyle w:val="ListParagraph"/>
      </w:pPr>
      <w:r>
        <w:t>Adding incentives for our new and renewing members, from</w:t>
      </w:r>
      <w:r>
        <w:t xml:space="preserve"> </w:t>
      </w:r>
      <w:r>
        <w:t>Black Market Provisions and Sage Garden Greenhouses.</w:t>
      </w:r>
    </w:p>
    <w:p w:rsidR="00F24277" w:rsidRPr="00F24277" w:rsidRDefault="00F24277" w:rsidP="00F24277">
      <w:pPr>
        <w:rPr>
          <w:b/>
        </w:rPr>
      </w:pPr>
      <w:r w:rsidRPr="00F24277">
        <w:rPr>
          <w:b/>
        </w:rPr>
        <w:t>“The Worst of Times” in 2022:</w:t>
      </w:r>
    </w:p>
    <w:p w:rsidR="00F24277" w:rsidRDefault="00F24277" w:rsidP="00F24277">
      <w:r>
        <w:t>For the Friends was, without a doubt, the difficult decision to</w:t>
      </w:r>
      <w:r>
        <w:t xml:space="preserve"> </w:t>
      </w:r>
      <w:r>
        <w:t>close our beloved Best of Friends Gift Shop (BOF)!</w:t>
      </w:r>
    </w:p>
    <w:p w:rsidR="00F24277" w:rsidRPr="00CF4456" w:rsidRDefault="00F24277" w:rsidP="00F24277">
      <w:pPr>
        <w:rPr>
          <w:b/>
        </w:rPr>
      </w:pPr>
      <w:r>
        <w:t>Kudos to Kathy Blight, BOF Gift Shop Manager (and FWPL Past-</w:t>
      </w:r>
      <w:r w:rsidR="00CF4456">
        <w:t xml:space="preserve"> </w:t>
      </w:r>
      <w:r>
        <w:t>President), BOF Gift Shop Buyer Janet Carriere, and the devoted</w:t>
      </w:r>
      <w:r w:rsidR="00CF4456">
        <w:t xml:space="preserve"> </w:t>
      </w:r>
      <w:r>
        <w:t>team of BOF Gift Shop volunteers for their dedication during</w:t>
      </w:r>
      <w:r w:rsidR="00CF4456">
        <w:t xml:space="preserve"> </w:t>
      </w:r>
      <w:r>
        <w:t xml:space="preserve">these challenging </w:t>
      </w:r>
      <w:r w:rsidRPr="00CF4456">
        <w:rPr>
          <w:b/>
        </w:rPr>
        <w:t>times.</w:t>
      </w:r>
    </w:p>
    <w:p w:rsidR="00F24277" w:rsidRPr="00CF4456" w:rsidRDefault="00F24277" w:rsidP="00F24277">
      <w:pPr>
        <w:rPr>
          <w:b/>
        </w:rPr>
      </w:pPr>
      <w:r w:rsidRPr="00CF4456">
        <w:rPr>
          <w:b/>
        </w:rPr>
        <w:t>Looking forward to 2023:</w:t>
      </w:r>
    </w:p>
    <w:p w:rsidR="00F24277" w:rsidRDefault="00F24277" w:rsidP="00F24277">
      <w:r>
        <w:t>Plans are being made to hold a Big Book Sale in the Fall of 2023</w:t>
      </w:r>
      <w:r w:rsidR="00CF4456">
        <w:t xml:space="preserve"> </w:t>
      </w:r>
      <w:r>
        <w:t>once again. Stay tuned for more details when they are finalized!</w:t>
      </w:r>
    </w:p>
    <w:p w:rsidR="00F24277" w:rsidRDefault="00F24277" w:rsidP="00F24277">
      <w:r>
        <w:t>Thank you to all our members, volunteers, donors, and our</w:t>
      </w:r>
      <w:r w:rsidR="00CF4456">
        <w:t xml:space="preserve"> </w:t>
      </w:r>
      <w:r>
        <w:t>Board of Directors whose valuable contributions make it</w:t>
      </w:r>
      <w:r w:rsidR="00CF4456">
        <w:t xml:space="preserve"> </w:t>
      </w:r>
      <w:r>
        <w:t>possible for us to maintain our commitment to fostering literacy</w:t>
      </w:r>
      <w:r w:rsidR="00CF4456">
        <w:t xml:space="preserve"> </w:t>
      </w:r>
      <w:r>
        <w:t>and community connections in our city.</w:t>
      </w:r>
    </w:p>
    <w:p w:rsidR="00453FE0" w:rsidRDefault="00F24277" w:rsidP="00F24277">
      <w:r>
        <w:t xml:space="preserve">Learn more about the Friends at </w:t>
      </w:r>
      <w:r w:rsidRPr="00CF4456">
        <w:rPr>
          <w:b/>
        </w:rPr>
        <w:t>friendswpl.ca</w:t>
      </w:r>
      <w:r>
        <w:t>.</w:t>
      </w:r>
      <w:r w:rsidR="00CF4456">
        <w:br/>
      </w:r>
      <w:r>
        <w:t>Rita Burgess, President</w:t>
      </w:r>
    </w:p>
    <w:p w:rsidR="00CF4456" w:rsidRDefault="00CF4456" w:rsidP="00CF4456">
      <w:pPr>
        <w:rPr>
          <w:i/>
        </w:rPr>
      </w:pPr>
      <w:r w:rsidRPr="00CF4456">
        <w:rPr>
          <w:i/>
        </w:rPr>
        <w:t>Winnipeg Public Library (WPL) would like to thank</w:t>
      </w:r>
      <w:r w:rsidRPr="00CF4456">
        <w:rPr>
          <w:i/>
        </w:rPr>
        <w:t xml:space="preserve"> </w:t>
      </w:r>
      <w:r w:rsidRPr="00CF4456">
        <w:rPr>
          <w:i/>
        </w:rPr>
        <w:t>Kathy Blight for her 12+ years of volunteer service</w:t>
      </w:r>
      <w:r w:rsidRPr="00CF4456">
        <w:rPr>
          <w:i/>
        </w:rPr>
        <w:t xml:space="preserve"> </w:t>
      </w:r>
      <w:r w:rsidRPr="00CF4456">
        <w:rPr>
          <w:i/>
        </w:rPr>
        <w:t>with the Friends of the WPL. She held several roles</w:t>
      </w:r>
      <w:r w:rsidRPr="00CF4456">
        <w:rPr>
          <w:i/>
        </w:rPr>
        <w:t xml:space="preserve"> </w:t>
      </w:r>
      <w:r w:rsidRPr="00CF4456">
        <w:rPr>
          <w:i/>
        </w:rPr>
        <w:t>over the years but her dedication and commitment</w:t>
      </w:r>
      <w:r w:rsidRPr="00CF4456">
        <w:rPr>
          <w:i/>
        </w:rPr>
        <w:t xml:space="preserve"> </w:t>
      </w:r>
      <w:r w:rsidRPr="00CF4456">
        <w:rPr>
          <w:i/>
        </w:rPr>
        <w:t>to the Friends and raising funds for WPL had not</w:t>
      </w:r>
      <w:r w:rsidRPr="00CF4456">
        <w:rPr>
          <w:i/>
        </w:rPr>
        <w:t xml:space="preserve"> </w:t>
      </w:r>
      <w:r w:rsidRPr="00CF4456">
        <w:rPr>
          <w:i/>
        </w:rPr>
        <w:t>changed. We are grateful for all her work, and wish</w:t>
      </w:r>
      <w:r w:rsidRPr="00CF4456">
        <w:rPr>
          <w:i/>
        </w:rPr>
        <w:t xml:space="preserve"> </w:t>
      </w:r>
      <w:r w:rsidRPr="00CF4456">
        <w:rPr>
          <w:i/>
        </w:rPr>
        <w:t xml:space="preserve">her well in her future </w:t>
      </w:r>
      <w:proofErr w:type="spellStart"/>
      <w:r w:rsidRPr="00CF4456">
        <w:rPr>
          <w:i/>
        </w:rPr>
        <w:t>endeavours</w:t>
      </w:r>
      <w:proofErr w:type="spellEnd"/>
      <w:r w:rsidRPr="00CF4456">
        <w:rPr>
          <w:i/>
        </w:rPr>
        <w:t>.</w:t>
      </w:r>
    </w:p>
    <w:p w:rsidR="00CF4456" w:rsidRDefault="00CF4456" w:rsidP="00CF4456">
      <w:pPr>
        <w:pStyle w:val="Heading1"/>
      </w:pPr>
      <w:r>
        <w:t>Winnipeg Library Foundation</w:t>
      </w:r>
    </w:p>
    <w:p w:rsidR="00CF4456" w:rsidRDefault="00CF4456" w:rsidP="00CF4456">
      <w:r>
        <w:t>After nearly three decades of fundraising, the Winnipeg</w:t>
      </w:r>
      <w:r>
        <w:t xml:space="preserve"> </w:t>
      </w:r>
      <w:r>
        <w:t>Library Foundation made the decision to cease</w:t>
      </w:r>
      <w:r>
        <w:t xml:space="preserve"> </w:t>
      </w:r>
      <w:r>
        <w:t>operations at the end of 2022.</w:t>
      </w:r>
    </w:p>
    <w:p w:rsidR="00CF4456" w:rsidRDefault="00CF4456" w:rsidP="00CF4456">
      <w:r>
        <w:t>Since its inception in 1995, the Winnipeg Library</w:t>
      </w:r>
      <w:r>
        <w:t xml:space="preserve"> </w:t>
      </w:r>
      <w:r>
        <w:t>Foundation has raised over $30 million for our public</w:t>
      </w:r>
      <w:r>
        <w:t xml:space="preserve"> </w:t>
      </w:r>
      <w:r>
        <w:t>library. We helped build the Millennium Library,</w:t>
      </w:r>
      <w:r>
        <w:t xml:space="preserve"> </w:t>
      </w:r>
      <w:r>
        <w:t>rebuild Millennium Library Park, provide accessibility</w:t>
      </w:r>
      <w:r>
        <w:t xml:space="preserve"> </w:t>
      </w:r>
      <w:r>
        <w:t>at Cornish and St. John’s, and strengthen the library’s</w:t>
      </w:r>
      <w:r>
        <w:t xml:space="preserve"> </w:t>
      </w:r>
      <w:r>
        <w:t>collections.</w:t>
      </w:r>
    </w:p>
    <w:p w:rsidR="00CF4456" w:rsidRDefault="00CF4456" w:rsidP="00CF4456">
      <w:r>
        <w:t>Most importantly, however, we brought together the</w:t>
      </w:r>
      <w:r>
        <w:t xml:space="preserve"> </w:t>
      </w:r>
      <w:r>
        <w:t>citizens of Winnipeg who let our governments know</w:t>
      </w:r>
      <w:r>
        <w:t xml:space="preserve"> </w:t>
      </w:r>
      <w:r>
        <w:t>that libraries are a vital part of our community, and</w:t>
      </w:r>
      <w:r>
        <w:t xml:space="preserve"> </w:t>
      </w:r>
      <w:r>
        <w:t>must be supported. The City of Winnipeg today has</w:t>
      </w:r>
      <w:r>
        <w:t xml:space="preserve"> </w:t>
      </w:r>
      <w:r>
        <w:t>included library revitalization in multiple budget years,</w:t>
      </w:r>
      <w:r>
        <w:t xml:space="preserve"> </w:t>
      </w:r>
      <w:r>
        <w:t>and our many beautiful facilities are proof of that.</w:t>
      </w:r>
    </w:p>
    <w:p w:rsidR="00CF4456" w:rsidRDefault="00CF4456" w:rsidP="00CF4456">
      <w:r>
        <w:t>On behalf of the Winnipeg Library Foundation’s Board</w:t>
      </w:r>
      <w:r>
        <w:t xml:space="preserve"> </w:t>
      </w:r>
      <w:r>
        <w:t>of Directors, thank you to our thousands of donors and</w:t>
      </w:r>
      <w:r>
        <w:t xml:space="preserve"> </w:t>
      </w:r>
      <w:r>
        <w:t>supporters - we couldn’t have done it without all of you.</w:t>
      </w:r>
      <w:r>
        <w:t xml:space="preserve"> </w:t>
      </w:r>
    </w:p>
    <w:p w:rsidR="00CF4456" w:rsidRPr="00CF4456" w:rsidRDefault="00CF4456" w:rsidP="00CF4456">
      <w:r>
        <w:t>Carole Marshall</w:t>
      </w:r>
      <w:r>
        <w:br/>
      </w:r>
      <w:r>
        <w:t>Executive Director</w:t>
      </w:r>
    </w:p>
    <w:p w:rsidR="00D071CB" w:rsidRDefault="00453FE0" w:rsidP="00453FE0">
      <w:pPr>
        <w:pStyle w:val="Heading1"/>
      </w:pPr>
      <w:r w:rsidRPr="00453FE0">
        <w:rPr>
          <w:rFonts w:asciiTheme="minorHAnsi" w:eastAsiaTheme="minorHAnsi" w:hAnsiTheme="minorHAnsi" w:cstheme="minorBidi"/>
          <w:b w:val="0"/>
          <w:bCs w:val="0"/>
          <w:sz w:val="28"/>
          <w:szCs w:val="22"/>
        </w:rPr>
        <w:t xml:space="preserve"> </w:t>
      </w:r>
      <w:r w:rsidR="00D071CB" w:rsidRPr="00D071CB">
        <w:t>Financial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2674"/>
        <w:gridCol w:w="1358"/>
      </w:tblGrid>
      <w:tr w:rsidR="00D071CB" w:rsidRPr="00D071CB" w:rsidTr="004E16AB">
        <w:trPr>
          <w:trHeight w:val="499"/>
        </w:trPr>
        <w:tc>
          <w:tcPr>
            <w:tcW w:w="5508" w:type="dxa"/>
          </w:tcPr>
          <w:p w:rsidR="00D071CB" w:rsidRPr="00D071CB" w:rsidRDefault="00D071CB" w:rsidP="00E813CE">
            <w:pPr>
              <w:pStyle w:val="Heading2"/>
              <w:outlineLvl w:val="1"/>
              <w:rPr>
                <w:caps/>
              </w:rPr>
            </w:pPr>
            <w:r w:rsidRPr="00D071CB">
              <w:rPr>
                <w:caps/>
              </w:rPr>
              <w:t xml:space="preserve">Revenue </w:t>
            </w:r>
            <w:r w:rsidR="003215BB">
              <w:rPr>
                <w:caps/>
              </w:rPr>
              <w:t>2022</w:t>
            </w:r>
          </w:p>
        </w:tc>
        <w:tc>
          <w:tcPr>
            <w:tcW w:w="2700" w:type="dxa"/>
          </w:tcPr>
          <w:p w:rsidR="00D071CB" w:rsidRPr="00D071CB" w:rsidRDefault="00D071CB" w:rsidP="00D071CB">
            <w:pPr>
              <w:pStyle w:val="Heading2"/>
              <w:jc w:val="right"/>
              <w:outlineLvl w:val="1"/>
            </w:pPr>
          </w:p>
        </w:tc>
        <w:tc>
          <w:tcPr>
            <w:tcW w:w="1368" w:type="dxa"/>
          </w:tcPr>
          <w:p w:rsidR="00D071CB" w:rsidRPr="00D071CB" w:rsidRDefault="00D071CB" w:rsidP="00D071CB">
            <w:pPr>
              <w:pStyle w:val="Heading2"/>
              <w:jc w:val="right"/>
              <w:outlineLvl w:val="1"/>
            </w:pP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city of winnipeg</w:t>
            </w:r>
          </w:p>
        </w:tc>
        <w:tc>
          <w:tcPr>
            <w:tcW w:w="2700" w:type="dxa"/>
          </w:tcPr>
          <w:p w:rsidR="00D071CB" w:rsidRPr="00D071CB" w:rsidRDefault="001737BD" w:rsidP="00D071CB">
            <w:pPr>
              <w:jc w:val="right"/>
            </w:pPr>
            <w:r w:rsidRPr="001737BD">
              <w:t>$28,646,474</w:t>
            </w:r>
          </w:p>
        </w:tc>
        <w:tc>
          <w:tcPr>
            <w:tcW w:w="1368" w:type="dxa"/>
          </w:tcPr>
          <w:p w:rsidR="00D071CB" w:rsidRPr="00D071CB" w:rsidRDefault="00812F83" w:rsidP="00D071CB">
            <w:pPr>
              <w:jc w:val="right"/>
            </w:pPr>
            <w:r>
              <w:t>9</w:t>
            </w:r>
            <w:r w:rsidR="001737BD">
              <w:t>2.5</w:t>
            </w:r>
            <w:r w:rsidR="00D071CB" w:rsidRPr="00D071CB">
              <w:t>%</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PROVINCE OF MANITOBA</w:t>
            </w:r>
          </w:p>
        </w:tc>
        <w:tc>
          <w:tcPr>
            <w:tcW w:w="2700" w:type="dxa"/>
          </w:tcPr>
          <w:p w:rsidR="00D071CB" w:rsidRPr="00D071CB" w:rsidRDefault="00D071CB" w:rsidP="00D071CB">
            <w:pPr>
              <w:jc w:val="right"/>
            </w:pPr>
            <w:r w:rsidRPr="00D071CB">
              <w:t>$</w:t>
            </w:r>
            <w:r w:rsidR="001737BD">
              <w:t>2,062,015</w:t>
            </w:r>
          </w:p>
        </w:tc>
        <w:tc>
          <w:tcPr>
            <w:tcW w:w="1368" w:type="dxa"/>
          </w:tcPr>
          <w:p w:rsidR="00D071CB" w:rsidRPr="00D071CB" w:rsidRDefault="001737BD" w:rsidP="00D071CB">
            <w:pPr>
              <w:jc w:val="right"/>
            </w:pPr>
            <w:r>
              <w:t>6.7%</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LIBRARY - GENERATED</w:t>
            </w:r>
          </w:p>
        </w:tc>
        <w:tc>
          <w:tcPr>
            <w:tcW w:w="2700" w:type="dxa"/>
          </w:tcPr>
          <w:p w:rsidR="00D071CB" w:rsidRPr="00D071CB" w:rsidRDefault="00D071CB" w:rsidP="00D071CB">
            <w:pPr>
              <w:jc w:val="right"/>
            </w:pPr>
            <w:r w:rsidRPr="00D071CB">
              <w:t>$</w:t>
            </w:r>
            <w:r w:rsidR="001737BD">
              <w:t>155,680</w:t>
            </w:r>
          </w:p>
        </w:tc>
        <w:tc>
          <w:tcPr>
            <w:tcW w:w="1368" w:type="dxa"/>
          </w:tcPr>
          <w:p w:rsidR="00D071CB" w:rsidRPr="00D071CB" w:rsidRDefault="005F6D65" w:rsidP="00D071CB">
            <w:pPr>
              <w:jc w:val="right"/>
            </w:pPr>
            <w:r>
              <w:t>.</w:t>
            </w:r>
            <w:r w:rsidR="001737BD">
              <w:t>5</w:t>
            </w:r>
            <w:r w:rsidR="00D071CB" w:rsidRPr="00D071CB">
              <w:t>%</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LIBRARY TRUST/BOOK SALES</w:t>
            </w:r>
          </w:p>
        </w:tc>
        <w:tc>
          <w:tcPr>
            <w:tcW w:w="2700" w:type="dxa"/>
          </w:tcPr>
          <w:p w:rsidR="00D071CB" w:rsidRPr="00D071CB" w:rsidRDefault="00D071CB" w:rsidP="00D071CB">
            <w:pPr>
              <w:jc w:val="right"/>
            </w:pPr>
            <w:r w:rsidRPr="00D071CB">
              <w:t>$</w:t>
            </w:r>
            <w:r w:rsidR="001737BD">
              <w:t>97,657</w:t>
            </w:r>
          </w:p>
        </w:tc>
        <w:tc>
          <w:tcPr>
            <w:tcW w:w="1368" w:type="dxa"/>
          </w:tcPr>
          <w:p w:rsidR="00D071CB" w:rsidRPr="00D071CB" w:rsidRDefault="005F6D65" w:rsidP="00D071CB">
            <w:pPr>
              <w:jc w:val="right"/>
            </w:pPr>
            <w:r>
              <w:t>.</w:t>
            </w:r>
            <w:r w:rsidR="001737BD">
              <w:t>3</w:t>
            </w:r>
            <w:r w:rsidR="00D071CB" w:rsidRPr="00D071CB">
              <w:t>%</w:t>
            </w:r>
          </w:p>
        </w:tc>
      </w:tr>
      <w:tr w:rsidR="00D071CB" w:rsidRPr="00D071CB" w:rsidTr="004E16AB">
        <w:trPr>
          <w:trHeight w:val="499"/>
        </w:trPr>
        <w:tc>
          <w:tcPr>
            <w:tcW w:w="5508" w:type="dxa"/>
            <w:vAlign w:val="bottom"/>
          </w:tcPr>
          <w:p w:rsidR="00D071CB" w:rsidRPr="00D071CB" w:rsidRDefault="00812F83" w:rsidP="00D071CB">
            <w:pPr>
              <w:pStyle w:val="Heading2"/>
              <w:jc w:val="right"/>
              <w:outlineLvl w:val="1"/>
            </w:pPr>
            <w:r w:rsidRPr="00D071CB">
              <w:t>TOTAL</w:t>
            </w:r>
            <w:r>
              <w:t xml:space="preserve"> REVENUES</w:t>
            </w:r>
          </w:p>
        </w:tc>
        <w:tc>
          <w:tcPr>
            <w:tcW w:w="2700" w:type="dxa"/>
            <w:vAlign w:val="bottom"/>
          </w:tcPr>
          <w:p w:rsidR="00D071CB" w:rsidRPr="001737BD" w:rsidRDefault="00D071CB" w:rsidP="00D071CB">
            <w:pPr>
              <w:jc w:val="right"/>
              <w:rPr>
                <w:b/>
              </w:rPr>
            </w:pPr>
            <w:r w:rsidRPr="001737BD">
              <w:rPr>
                <w:b/>
              </w:rPr>
              <w:t>$</w:t>
            </w:r>
            <w:r w:rsidR="001737BD" w:rsidRPr="001737BD">
              <w:rPr>
                <w:b/>
              </w:rPr>
              <w:t>30,961,826</w:t>
            </w:r>
          </w:p>
        </w:tc>
        <w:tc>
          <w:tcPr>
            <w:tcW w:w="1368" w:type="dxa"/>
            <w:vAlign w:val="bottom"/>
          </w:tcPr>
          <w:p w:rsidR="00D071CB" w:rsidRPr="001737BD" w:rsidRDefault="00D071CB" w:rsidP="00D071CB">
            <w:pPr>
              <w:jc w:val="right"/>
              <w:rPr>
                <w:b/>
              </w:rPr>
            </w:pPr>
            <w:r w:rsidRPr="001737BD">
              <w:rPr>
                <w:b/>
              </w:rPr>
              <w:t>100%</w:t>
            </w:r>
          </w:p>
        </w:tc>
      </w:tr>
      <w:tr w:rsidR="00D071CB" w:rsidRPr="00D071CB" w:rsidTr="004E16AB">
        <w:trPr>
          <w:trHeight w:val="499"/>
        </w:trPr>
        <w:tc>
          <w:tcPr>
            <w:tcW w:w="5508" w:type="dxa"/>
          </w:tcPr>
          <w:p w:rsidR="00D071CB" w:rsidRPr="00D071CB" w:rsidRDefault="00D071CB" w:rsidP="00D071CB">
            <w:pPr>
              <w:pStyle w:val="Heading2"/>
              <w:outlineLvl w:val="1"/>
              <w:rPr>
                <w:caps/>
              </w:rPr>
            </w:pPr>
            <w:r w:rsidRPr="00D071CB">
              <w:rPr>
                <w:caps/>
              </w:rPr>
              <w:t xml:space="preserve">Expenditures </w:t>
            </w:r>
            <w:r w:rsidR="003215BB">
              <w:rPr>
                <w:caps/>
              </w:rPr>
              <w:t>2022</w:t>
            </w:r>
          </w:p>
        </w:tc>
        <w:tc>
          <w:tcPr>
            <w:tcW w:w="2700" w:type="dxa"/>
          </w:tcPr>
          <w:p w:rsidR="00D071CB" w:rsidRPr="00D071CB" w:rsidRDefault="00D071CB" w:rsidP="00D071CB">
            <w:pPr>
              <w:jc w:val="right"/>
            </w:pPr>
          </w:p>
        </w:tc>
        <w:tc>
          <w:tcPr>
            <w:tcW w:w="1368" w:type="dxa"/>
          </w:tcPr>
          <w:p w:rsidR="00D071CB" w:rsidRPr="00D071CB" w:rsidRDefault="00D071CB" w:rsidP="00D071CB">
            <w:pPr>
              <w:jc w:val="right"/>
            </w:pP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salaries AND benefits</w:t>
            </w:r>
          </w:p>
        </w:tc>
        <w:tc>
          <w:tcPr>
            <w:tcW w:w="2700" w:type="dxa"/>
          </w:tcPr>
          <w:p w:rsidR="00D071CB" w:rsidRPr="00D071CB" w:rsidRDefault="00D071CB" w:rsidP="00D071CB">
            <w:pPr>
              <w:jc w:val="right"/>
            </w:pPr>
            <w:r w:rsidRPr="00D071CB">
              <w:t>$</w:t>
            </w:r>
            <w:r w:rsidR="001737BD">
              <w:t>16,569,962</w:t>
            </w:r>
          </w:p>
        </w:tc>
        <w:tc>
          <w:tcPr>
            <w:tcW w:w="1368" w:type="dxa"/>
          </w:tcPr>
          <w:p w:rsidR="00D071CB" w:rsidRPr="00D071CB" w:rsidRDefault="00D071CB" w:rsidP="00D071CB">
            <w:pPr>
              <w:jc w:val="right"/>
            </w:pPr>
            <w:r w:rsidRPr="00D071CB">
              <w:t>5</w:t>
            </w:r>
            <w:r w:rsidR="001737BD">
              <w:t>3.5</w:t>
            </w:r>
            <w:r w:rsidRPr="00D071CB">
              <w:t>%</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building maintenance</w:t>
            </w:r>
          </w:p>
        </w:tc>
        <w:tc>
          <w:tcPr>
            <w:tcW w:w="2700" w:type="dxa"/>
          </w:tcPr>
          <w:p w:rsidR="00D071CB" w:rsidRPr="00D071CB" w:rsidRDefault="00D071CB" w:rsidP="00D071CB">
            <w:pPr>
              <w:jc w:val="right"/>
            </w:pPr>
            <w:r w:rsidRPr="00D071CB">
              <w:t>$</w:t>
            </w:r>
            <w:r w:rsidR="00812F83">
              <w:t>8,</w:t>
            </w:r>
            <w:r w:rsidR="001737BD">
              <w:t>703,</w:t>
            </w:r>
            <w:r w:rsidR="008B436B">
              <w:t>568</w:t>
            </w:r>
          </w:p>
        </w:tc>
        <w:tc>
          <w:tcPr>
            <w:tcW w:w="1368" w:type="dxa"/>
          </w:tcPr>
          <w:p w:rsidR="00D071CB" w:rsidRPr="00D071CB" w:rsidRDefault="00D071CB" w:rsidP="00D071CB">
            <w:pPr>
              <w:jc w:val="right"/>
            </w:pPr>
            <w:r w:rsidRPr="00D071CB">
              <w:t>2</w:t>
            </w:r>
            <w:r w:rsidR="008B436B">
              <w:t>8.1</w:t>
            </w:r>
            <w:r w:rsidRPr="00D071CB">
              <w:t>%</w:t>
            </w:r>
          </w:p>
        </w:tc>
      </w:tr>
      <w:tr w:rsidR="00D071CB" w:rsidRPr="00D071CB" w:rsidTr="0011441D">
        <w:trPr>
          <w:trHeight w:val="423"/>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*library materials</w:t>
            </w:r>
          </w:p>
        </w:tc>
        <w:tc>
          <w:tcPr>
            <w:tcW w:w="2700" w:type="dxa"/>
          </w:tcPr>
          <w:p w:rsidR="00D071CB" w:rsidRPr="00D071CB" w:rsidRDefault="00D071CB" w:rsidP="00D071CB">
            <w:pPr>
              <w:jc w:val="right"/>
            </w:pPr>
            <w:r w:rsidRPr="00D071CB">
              <w:t>$</w:t>
            </w:r>
            <w:r w:rsidR="008B436B">
              <w:t>2,836,304</w:t>
            </w:r>
          </w:p>
        </w:tc>
        <w:tc>
          <w:tcPr>
            <w:tcW w:w="1368" w:type="dxa"/>
          </w:tcPr>
          <w:p w:rsidR="00D071CB" w:rsidRPr="00D071CB" w:rsidRDefault="008B436B" w:rsidP="00D071CB">
            <w:pPr>
              <w:jc w:val="right"/>
            </w:pPr>
            <w:r>
              <w:t>9.2</w:t>
            </w:r>
            <w:r w:rsidR="00D071CB" w:rsidRPr="00D071CB">
              <w:t>%</w:t>
            </w:r>
          </w:p>
        </w:tc>
      </w:tr>
      <w:tr w:rsidR="00D071CB" w:rsidRPr="00D071CB" w:rsidTr="0011441D">
        <w:trPr>
          <w:trHeight w:val="36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supplies And services</w:t>
            </w:r>
          </w:p>
        </w:tc>
        <w:tc>
          <w:tcPr>
            <w:tcW w:w="2700" w:type="dxa"/>
          </w:tcPr>
          <w:p w:rsidR="00D071CB" w:rsidRPr="00D071CB" w:rsidRDefault="00D071CB" w:rsidP="00D071CB">
            <w:pPr>
              <w:jc w:val="right"/>
            </w:pPr>
            <w:r w:rsidRPr="00D071CB">
              <w:t>$</w:t>
            </w:r>
            <w:r w:rsidR="0011441D">
              <w:t>2,</w:t>
            </w:r>
            <w:r w:rsidR="008B436B">
              <w:t>851,991</w:t>
            </w:r>
          </w:p>
        </w:tc>
        <w:tc>
          <w:tcPr>
            <w:tcW w:w="1368" w:type="dxa"/>
          </w:tcPr>
          <w:p w:rsidR="00D071CB" w:rsidRPr="00D071CB" w:rsidRDefault="0011441D" w:rsidP="00D071CB">
            <w:pPr>
              <w:jc w:val="right"/>
            </w:pPr>
            <w:r>
              <w:t>9</w:t>
            </w:r>
            <w:r w:rsidR="008B436B">
              <w:t>.2</w:t>
            </w:r>
            <w:r w:rsidR="00D071CB" w:rsidRPr="00D071CB">
              <w:t>%</w:t>
            </w:r>
          </w:p>
        </w:tc>
      </w:tr>
      <w:tr w:rsidR="00D071CB" w:rsidRPr="00D071CB" w:rsidTr="004E16AB">
        <w:trPr>
          <w:trHeight w:val="499"/>
        </w:trPr>
        <w:tc>
          <w:tcPr>
            <w:tcW w:w="5508" w:type="dxa"/>
            <w:vAlign w:val="bottom"/>
          </w:tcPr>
          <w:p w:rsidR="00D071CB" w:rsidRPr="00D071CB" w:rsidRDefault="00D071CB" w:rsidP="00D071CB">
            <w:pPr>
              <w:pStyle w:val="Heading2"/>
              <w:jc w:val="right"/>
              <w:outlineLvl w:val="1"/>
            </w:pPr>
            <w:r w:rsidRPr="00D071CB">
              <w:t>TOTAL</w:t>
            </w:r>
            <w:r w:rsidR="00812F83">
              <w:t xml:space="preserve"> EXPENDITURES</w:t>
            </w:r>
          </w:p>
        </w:tc>
        <w:tc>
          <w:tcPr>
            <w:tcW w:w="2700" w:type="dxa"/>
            <w:vAlign w:val="bottom"/>
          </w:tcPr>
          <w:p w:rsidR="00D071CB" w:rsidRPr="001737BD" w:rsidRDefault="0011441D" w:rsidP="00D071CB">
            <w:pPr>
              <w:jc w:val="right"/>
              <w:rPr>
                <w:b/>
              </w:rPr>
            </w:pPr>
            <w:r w:rsidRPr="001737BD">
              <w:rPr>
                <w:b/>
              </w:rPr>
              <w:t>$</w:t>
            </w:r>
            <w:r w:rsidR="008B436B" w:rsidRPr="001737BD">
              <w:rPr>
                <w:b/>
              </w:rPr>
              <w:t>30,961,826</w:t>
            </w:r>
          </w:p>
        </w:tc>
        <w:tc>
          <w:tcPr>
            <w:tcW w:w="1368" w:type="dxa"/>
            <w:vAlign w:val="bottom"/>
          </w:tcPr>
          <w:p w:rsidR="00D071CB" w:rsidRPr="001737BD" w:rsidRDefault="00D071CB" w:rsidP="00D071CB">
            <w:pPr>
              <w:jc w:val="right"/>
              <w:rPr>
                <w:b/>
              </w:rPr>
            </w:pPr>
            <w:r w:rsidRPr="001737BD">
              <w:rPr>
                <w:b/>
              </w:rPr>
              <w:t>100%</w:t>
            </w:r>
          </w:p>
        </w:tc>
      </w:tr>
    </w:tbl>
    <w:p w:rsidR="00D071CB" w:rsidRDefault="00D071CB" w:rsidP="00D071CB">
      <w:r>
        <w:t>*includes expenditures from book sales, trust accounts and grants</w:t>
      </w:r>
    </w:p>
    <w:p w:rsidR="005D0D7F" w:rsidRDefault="005D0D7F" w:rsidP="005D0D7F">
      <w:pPr>
        <w:pStyle w:val="Heading1"/>
      </w:pPr>
      <w:r>
        <w:t>Donors and Grants</w:t>
      </w:r>
    </w:p>
    <w:p w:rsidR="00812F83" w:rsidRDefault="00812F83" w:rsidP="00812F83">
      <w:r>
        <w:t xml:space="preserve">The Library wishes to thank the following people and organizations for their generous contributions in </w:t>
      </w:r>
      <w:r w:rsidR="003215BB">
        <w:t>2022</w:t>
      </w:r>
      <w:r>
        <w:t>.</w:t>
      </w:r>
    </w:p>
    <w:p w:rsidR="00CF4456" w:rsidRPr="00CF4456" w:rsidRDefault="00CF4456" w:rsidP="00CF4456">
      <w:pPr>
        <w:pStyle w:val="ListParagraph"/>
        <w:rPr>
          <w:rFonts w:eastAsiaTheme="minorHAnsi"/>
        </w:rPr>
      </w:pPr>
      <w:r w:rsidRPr="00CF4456">
        <w:rPr>
          <w:rFonts w:eastAsiaTheme="minorHAnsi"/>
        </w:rPr>
        <w:t>Trish Allison-Simms</w:t>
      </w:r>
    </w:p>
    <w:p w:rsidR="00CF4456" w:rsidRPr="00CF4456" w:rsidRDefault="00CF4456" w:rsidP="00CF4456">
      <w:pPr>
        <w:pStyle w:val="ListParagraph"/>
        <w:rPr>
          <w:rFonts w:eastAsiaTheme="minorHAnsi"/>
        </w:rPr>
      </w:pPr>
      <w:r w:rsidRPr="00CF4456">
        <w:rPr>
          <w:rFonts w:eastAsiaTheme="minorHAnsi"/>
        </w:rPr>
        <w:t>Peter Attwood</w:t>
      </w:r>
    </w:p>
    <w:p w:rsidR="00CF4456" w:rsidRPr="00CF4456" w:rsidRDefault="00CF4456" w:rsidP="00CF4456">
      <w:pPr>
        <w:pStyle w:val="ListParagraph"/>
        <w:rPr>
          <w:rFonts w:eastAsiaTheme="minorHAnsi"/>
        </w:rPr>
      </w:pPr>
      <w:r w:rsidRPr="00CF4456">
        <w:rPr>
          <w:rFonts w:eastAsiaTheme="minorHAnsi"/>
        </w:rPr>
        <w:t>In memory of Ted Baron</w:t>
      </w:r>
    </w:p>
    <w:p w:rsidR="00CF4456" w:rsidRPr="00CF4456" w:rsidRDefault="00CF4456" w:rsidP="00CF4456">
      <w:pPr>
        <w:pStyle w:val="ListParagraph"/>
        <w:numPr>
          <w:ilvl w:val="1"/>
          <w:numId w:val="5"/>
        </w:numPr>
        <w:rPr>
          <w:rFonts w:eastAsiaTheme="minorHAnsi"/>
        </w:rPr>
      </w:pPr>
      <w:r w:rsidRPr="00CF4456">
        <w:rPr>
          <w:rFonts w:eastAsiaTheme="minorHAnsi"/>
        </w:rPr>
        <w:t xml:space="preserve">Corinne </w:t>
      </w:r>
      <w:proofErr w:type="spellStart"/>
      <w:r w:rsidRPr="00CF4456">
        <w:rPr>
          <w:rFonts w:eastAsiaTheme="minorHAnsi"/>
        </w:rPr>
        <w:t>Billinkoff</w:t>
      </w:r>
      <w:proofErr w:type="spellEnd"/>
    </w:p>
    <w:p w:rsidR="00CF4456" w:rsidRPr="00CF4456" w:rsidRDefault="00CF4456" w:rsidP="00CF4456">
      <w:pPr>
        <w:pStyle w:val="ListParagraph"/>
        <w:numPr>
          <w:ilvl w:val="1"/>
          <w:numId w:val="5"/>
        </w:numPr>
        <w:rPr>
          <w:rFonts w:eastAsiaTheme="minorHAnsi"/>
        </w:rPr>
      </w:pPr>
      <w:r w:rsidRPr="00CF4456">
        <w:rPr>
          <w:rFonts w:eastAsiaTheme="minorHAnsi"/>
        </w:rPr>
        <w:t xml:space="preserve">Judy </w:t>
      </w:r>
      <w:proofErr w:type="spellStart"/>
      <w:r w:rsidRPr="00CF4456">
        <w:rPr>
          <w:rFonts w:eastAsiaTheme="minorHAnsi"/>
        </w:rPr>
        <w:t>Kaprowy</w:t>
      </w:r>
      <w:proofErr w:type="spellEnd"/>
    </w:p>
    <w:p w:rsidR="00CF4456" w:rsidRPr="00CF4456" w:rsidRDefault="00CF4456" w:rsidP="00CF4456">
      <w:pPr>
        <w:pStyle w:val="ListParagraph"/>
        <w:numPr>
          <w:ilvl w:val="1"/>
          <w:numId w:val="5"/>
        </w:numPr>
        <w:rPr>
          <w:rFonts w:eastAsiaTheme="minorHAnsi"/>
        </w:rPr>
      </w:pPr>
      <w:r w:rsidRPr="00CF4456">
        <w:rPr>
          <w:rFonts w:eastAsiaTheme="minorHAnsi"/>
        </w:rPr>
        <w:t xml:space="preserve">Jennifer </w:t>
      </w:r>
      <w:proofErr w:type="spellStart"/>
      <w:r w:rsidRPr="00CF4456">
        <w:rPr>
          <w:rFonts w:eastAsiaTheme="minorHAnsi"/>
        </w:rPr>
        <w:t>Montemarano</w:t>
      </w:r>
      <w:proofErr w:type="spellEnd"/>
    </w:p>
    <w:p w:rsidR="00CF4456" w:rsidRPr="00CF4456" w:rsidRDefault="00CF4456" w:rsidP="00CF4456">
      <w:pPr>
        <w:pStyle w:val="ListParagraph"/>
        <w:numPr>
          <w:ilvl w:val="1"/>
          <w:numId w:val="5"/>
        </w:numPr>
        <w:rPr>
          <w:rFonts w:eastAsiaTheme="minorHAnsi"/>
        </w:rPr>
      </w:pPr>
      <w:r w:rsidRPr="00CF4456">
        <w:rPr>
          <w:rFonts w:eastAsiaTheme="minorHAnsi"/>
        </w:rPr>
        <w:t>Danielle Rice</w:t>
      </w:r>
    </w:p>
    <w:p w:rsidR="00CF4456" w:rsidRDefault="00CF4456" w:rsidP="00CF4456">
      <w:pPr>
        <w:pStyle w:val="ListParagraph"/>
        <w:numPr>
          <w:ilvl w:val="1"/>
          <w:numId w:val="5"/>
        </w:numPr>
        <w:rPr>
          <w:rFonts w:eastAsiaTheme="minorHAnsi"/>
        </w:rPr>
      </w:pPr>
      <w:r w:rsidRPr="00CF4456">
        <w:rPr>
          <w:rFonts w:eastAsiaTheme="minorHAnsi"/>
        </w:rPr>
        <w:t>Michael Wood</w:t>
      </w:r>
    </w:p>
    <w:p w:rsidR="00CF4456" w:rsidRPr="00CF4456" w:rsidRDefault="00CF4456" w:rsidP="00CF4456">
      <w:pPr>
        <w:pStyle w:val="ListParagraph"/>
        <w:rPr>
          <w:rFonts w:eastAsiaTheme="minorHAnsi"/>
        </w:rPr>
      </w:pPr>
      <w:r>
        <w:rPr>
          <w:rFonts w:eastAsiaTheme="minorHAnsi"/>
        </w:rPr>
        <w:br w:type="page"/>
      </w:r>
      <w:r w:rsidRPr="00CF4456">
        <w:rPr>
          <w:rFonts w:eastAsiaTheme="minorHAnsi"/>
        </w:rPr>
        <w:t>In memory of Dennis Davis</w:t>
      </w:r>
    </w:p>
    <w:p w:rsidR="00CF4456" w:rsidRPr="00CF4456" w:rsidRDefault="00CF4456" w:rsidP="00CF4456">
      <w:pPr>
        <w:pStyle w:val="ListParagraph"/>
        <w:numPr>
          <w:ilvl w:val="1"/>
          <w:numId w:val="5"/>
        </w:numPr>
        <w:rPr>
          <w:rFonts w:eastAsiaTheme="minorHAnsi"/>
        </w:rPr>
      </w:pPr>
      <w:r w:rsidRPr="00CF4456">
        <w:rPr>
          <w:rFonts w:eastAsiaTheme="minorHAnsi"/>
        </w:rPr>
        <w:t>Anonymous</w:t>
      </w:r>
    </w:p>
    <w:p w:rsidR="00CF4456" w:rsidRPr="00CF4456" w:rsidRDefault="00CF4456" w:rsidP="00CF4456">
      <w:pPr>
        <w:pStyle w:val="ListParagraph"/>
        <w:numPr>
          <w:ilvl w:val="1"/>
          <w:numId w:val="5"/>
        </w:numPr>
        <w:rPr>
          <w:rFonts w:eastAsiaTheme="minorHAnsi"/>
        </w:rPr>
      </w:pPr>
      <w:r w:rsidRPr="00CF4456">
        <w:rPr>
          <w:rFonts w:eastAsiaTheme="minorHAnsi"/>
        </w:rPr>
        <w:t xml:space="preserve">Linda &amp; Gary </w:t>
      </w:r>
      <w:proofErr w:type="spellStart"/>
      <w:r w:rsidRPr="00CF4456">
        <w:rPr>
          <w:rFonts w:eastAsiaTheme="minorHAnsi"/>
        </w:rPr>
        <w:t>Borodenko</w:t>
      </w:r>
      <w:proofErr w:type="spellEnd"/>
    </w:p>
    <w:p w:rsidR="00CF4456" w:rsidRPr="00CF4456" w:rsidRDefault="00CF4456" w:rsidP="00CF4456">
      <w:pPr>
        <w:pStyle w:val="ListParagraph"/>
        <w:numPr>
          <w:ilvl w:val="1"/>
          <w:numId w:val="5"/>
        </w:numPr>
        <w:rPr>
          <w:rFonts w:eastAsiaTheme="minorHAnsi"/>
        </w:rPr>
      </w:pPr>
      <w:r w:rsidRPr="00CF4456">
        <w:rPr>
          <w:rFonts w:eastAsiaTheme="minorHAnsi"/>
        </w:rPr>
        <w:t>Christine Davis</w:t>
      </w:r>
    </w:p>
    <w:p w:rsidR="00CF4456" w:rsidRPr="00CF4456" w:rsidRDefault="00CF4456" w:rsidP="00CF4456">
      <w:pPr>
        <w:pStyle w:val="ListParagraph"/>
        <w:numPr>
          <w:ilvl w:val="1"/>
          <w:numId w:val="5"/>
        </w:numPr>
        <w:rPr>
          <w:rFonts w:eastAsiaTheme="minorHAnsi"/>
        </w:rPr>
      </w:pPr>
      <w:proofErr w:type="spellStart"/>
      <w:r w:rsidRPr="00CF4456">
        <w:rPr>
          <w:rFonts w:eastAsiaTheme="minorHAnsi"/>
        </w:rPr>
        <w:t>Denisce</w:t>
      </w:r>
      <w:proofErr w:type="spellEnd"/>
      <w:r w:rsidRPr="00CF4456">
        <w:rPr>
          <w:rFonts w:eastAsiaTheme="minorHAnsi"/>
        </w:rPr>
        <w:t xml:space="preserve"> Davis</w:t>
      </w:r>
    </w:p>
    <w:p w:rsidR="00CF4456" w:rsidRPr="00CF4456" w:rsidRDefault="00CF4456" w:rsidP="00CF4456">
      <w:pPr>
        <w:pStyle w:val="ListParagraph"/>
        <w:numPr>
          <w:ilvl w:val="1"/>
          <w:numId w:val="5"/>
        </w:numPr>
        <w:rPr>
          <w:rFonts w:eastAsiaTheme="minorHAnsi"/>
        </w:rPr>
      </w:pPr>
      <w:r w:rsidRPr="00CF4456">
        <w:rPr>
          <w:rFonts w:eastAsiaTheme="minorHAnsi"/>
        </w:rPr>
        <w:t>Karen &amp; Alan Gilchrist</w:t>
      </w:r>
    </w:p>
    <w:p w:rsidR="00CF4456" w:rsidRPr="00CF4456" w:rsidRDefault="00CF4456" w:rsidP="00CF4456">
      <w:pPr>
        <w:pStyle w:val="ListParagraph"/>
        <w:numPr>
          <w:ilvl w:val="1"/>
          <w:numId w:val="5"/>
        </w:numPr>
        <w:rPr>
          <w:rFonts w:eastAsiaTheme="minorHAnsi"/>
        </w:rPr>
      </w:pPr>
      <w:r w:rsidRPr="00CF4456">
        <w:rPr>
          <w:rFonts w:eastAsiaTheme="minorHAnsi"/>
        </w:rPr>
        <w:t>Crystal Mitchell</w:t>
      </w:r>
    </w:p>
    <w:p w:rsidR="00CF4456" w:rsidRPr="00CF4456" w:rsidRDefault="00CF4456" w:rsidP="00CF4456">
      <w:pPr>
        <w:pStyle w:val="ListParagraph"/>
        <w:numPr>
          <w:ilvl w:val="1"/>
          <w:numId w:val="5"/>
        </w:numPr>
        <w:rPr>
          <w:rFonts w:eastAsiaTheme="minorHAnsi"/>
        </w:rPr>
      </w:pPr>
      <w:r w:rsidRPr="00CF4456">
        <w:rPr>
          <w:rFonts w:eastAsiaTheme="minorHAnsi"/>
        </w:rPr>
        <w:t xml:space="preserve">Linda </w:t>
      </w:r>
      <w:proofErr w:type="spellStart"/>
      <w:r w:rsidRPr="00CF4456">
        <w:rPr>
          <w:rFonts w:eastAsiaTheme="minorHAnsi"/>
        </w:rPr>
        <w:t>Nortoft</w:t>
      </w:r>
      <w:proofErr w:type="spellEnd"/>
    </w:p>
    <w:p w:rsidR="00CF4456" w:rsidRPr="00CF4456" w:rsidRDefault="00CF4456" w:rsidP="00CF4456">
      <w:pPr>
        <w:pStyle w:val="ListParagraph"/>
        <w:rPr>
          <w:rFonts w:eastAsiaTheme="minorHAnsi"/>
        </w:rPr>
      </w:pPr>
      <w:r w:rsidRPr="00CF4456">
        <w:rPr>
          <w:rFonts w:eastAsiaTheme="minorHAnsi"/>
        </w:rPr>
        <w:t xml:space="preserve">Nicole </w:t>
      </w:r>
      <w:proofErr w:type="spellStart"/>
      <w:r w:rsidRPr="00CF4456">
        <w:rPr>
          <w:rFonts w:eastAsiaTheme="minorHAnsi"/>
        </w:rPr>
        <w:t>Denboer</w:t>
      </w:r>
      <w:proofErr w:type="spellEnd"/>
    </w:p>
    <w:p w:rsidR="00CF4456" w:rsidRPr="00CF4456" w:rsidRDefault="00CF4456" w:rsidP="00CF4456">
      <w:pPr>
        <w:pStyle w:val="ListParagraph"/>
        <w:rPr>
          <w:rFonts w:eastAsiaTheme="minorHAnsi"/>
        </w:rPr>
      </w:pPr>
      <w:r w:rsidRPr="00CF4456">
        <w:rPr>
          <w:rFonts w:eastAsiaTheme="minorHAnsi"/>
        </w:rPr>
        <w:t>Lynn Dupuis</w:t>
      </w:r>
    </w:p>
    <w:p w:rsidR="00CF4456" w:rsidRPr="00CF4456" w:rsidRDefault="00CF4456" w:rsidP="00CF4456">
      <w:pPr>
        <w:pStyle w:val="ListParagraph"/>
        <w:rPr>
          <w:rFonts w:eastAsiaTheme="minorHAnsi"/>
        </w:rPr>
      </w:pPr>
      <w:r w:rsidRPr="00CF4456">
        <w:rPr>
          <w:rFonts w:eastAsiaTheme="minorHAnsi"/>
        </w:rPr>
        <w:t xml:space="preserve">Margaret </w:t>
      </w:r>
      <w:proofErr w:type="spellStart"/>
      <w:r w:rsidRPr="00CF4456">
        <w:rPr>
          <w:rFonts w:eastAsiaTheme="minorHAnsi"/>
        </w:rPr>
        <w:t>Eyolfson</w:t>
      </w:r>
      <w:proofErr w:type="spellEnd"/>
    </w:p>
    <w:p w:rsidR="00CF4456" w:rsidRPr="00CF4456" w:rsidRDefault="00CF4456" w:rsidP="00CF4456">
      <w:pPr>
        <w:pStyle w:val="ListParagraph"/>
        <w:rPr>
          <w:rFonts w:eastAsiaTheme="minorHAnsi"/>
        </w:rPr>
      </w:pPr>
      <w:r w:rsidRPr="00CF4456">
        <w:rPr>
          <w:rFonts w:eastAsiaTheme="minorHAnsi"/>
        </w:rPr>
        <w:t>Friends of the Winnipeg</w:t>
      </w:r>
      <w:r w:rsidRPr="00CF4456">
        <w:rPr>
          <w:rFonts w:eastAsiaTheme="minorHAnsi"/>
        </w:rPr>
        <w:t xml:space="preserve"> </w:t>
      </w:r>
      <w:r w:rsidRPr="00CF4456">
        <w:rPr>
          <w:rFonts w:eastAsiaTheme="minorHAnsi"/>
        </w:rPr>
        <w:t>Public Library</w:t>
      </w:r>
    </w:p>
    <w:p w:rsidR="00CF4456" w:rsidRPr="00CF4456" w:rsidRDefault="00CF4456" w:rsidP="00CF4456">
      <w:pPr>
        <w:pStyle w:val="ListParagraph"/>
        <w:rPr>
          <w:rFonts w:eastAsiaTheme="minorHAnsi"/>
        </w:rPr>
      </w:pPr>
      <w:r w:rsidRPr="00CF4456">
        <w:rPr>
          <w:rFonts w:eastAsiaTheme="minorHAnsi"/>
        </w:rPr>
        <w:t>Heather Graham</w:t>
      </w:r>
    </w:p>
    <w:p w:rsidR="00CF4456" w:rsidRPr="00CF4456" w:rsidRDefault="00CF4456" w:rsidP="00CF4456">
      <w:pPr>
        <w:pStyle w:val="ListParagraph"/>
        <w:rPr>
          <w:rFonts w:eastAsiaTheme="minorHAnsi"/>
        </w:rPr>
      </w:pPr>
      <w:r w:rsidRPr="00CF4456">
        <w:rPr>
          <w:rFonts w:eastAsiaTheme="minorHAnsi"/>
        </w:rPr>
        <w:t>Heather Groom</w:t>
      </w:r>
    </w:p>
    <w:p w:rsidR="00CF4456" w:rsidRPr="00CF4456" w:rsidRDefault="00CF4456" w:rsidP="00CF4456">
      <w:pPr>
        <w:pStyle w:val="ListParagraph"/>
        <w:rPr>
          <w:rFonts w:eastAsiaTheme="minorHAnsi"/>
        </w:rPr>
      </w:pPr>
      <w:r w:rsidRPr="00CF4456">
        <w:rPr>
          <w:rFonts w:eastAsiaTheme="minorHAnsi"/>
        </w:rPr>
        <w:t xml:space="preserve">Phil </w:t>
      </w:r>
      <w:proofErr w:type="spellStart"/>
      <w:r w:rsidRPr="00CF4456">
        <w:rPr>
          <w:rFonts w:eastAsiaTheme="minorHAnsi"/>
        </w:rPr>
        <w:t>Halprin</w:t>
      </w:r>
      <w:proofErr w:type="spellEnd"/>
    </w:p>
    <w:p w:rsidR="00CF4456" w:rsidRPr="00CF4456" w:rsidRDefault="00CF4456" w:rsidP="00CF4456">
      <w:pPr>
        <w:pStyle w:val="ListParagraph"/>
        <w:rPr>
          <w:rFonts w:eastAsiaTheme="minorHAnsi"/>
        </w:rPr>
      </w:pPr>
      <w:r w:rsidRPr="00CF4456">
        <w:rPr>
          <w:rFonts w:eastAsiaTheme="minorHAnsi"/>
        </w:rPr>
        <w:t>Gabriel J. Hurley</w:t>
      </w:r>
    </w:p>
    <w:p w:rsidR="00CF4456" w:rsidRPr="00CF4456" w:rsidRDefault="00CF4456" w:rsidP="00CF4456">
      <w:pPr>
        <w:pStyle w:val="ListParagraph"/>
        <w:rPr>
          <w:rFonts w:eastAsiaTheme="minorHAnsi"/>
        </w:rPr>
      </w:pPr>
      <w:r w:rsidRPr="00CF4456">
        <w:rPr>
          <w:rFonts w:eastAsiaTheme="minorHAnsi"/>
        </w:rPr>
        <w:t xml:space="preserve">In memory of Marlene </w:t>
      </w:r>
      <w:proofErr w:type="spellStart"/>
      <w:r w:rsidRPr="00CF4456">
        <w:rPr>
          <w:rFonts w:eastAsiaTheme="minorHAnsi"/>
        </w:rPr>
        <w:t>Kroeker</w:t>
      </w:r>
      <w:proofErr w:type="spellEnd"/>
    </w:p>
    <w:p w:rsidR="00CF4456" w:rsidRPr="00CF4456" w:rsidRDefault="00CF4456" w:rsidP="00CF4456">
      <w:pPr>
        <w:pStyle w:val="ListParagraph"/>
        <w:numPr>
          <w:ilvl w:val="1"/>
          <w:numId w:val="5"/>
        </w:numPr>
        <w:rPr>
          <w:rFonts w:eastAsiaTheme="minorHAnsi"/>
        </w:rPr>
      </w:pPr>
      <w:r w:rsidRPr="00CF4456">
        <w:rPr>
          <w:rFonts w:eastAsiaTheme="minorHAnsi"/>
        </w:rPr>
        <w:t>Anonymous</w:t>
      </w:r>
    </w:p>
    <w:p w:rsidR="00CF4456" w:rsidRPr="00CF4456" w:rsidRDefault="00CF4456" w:rsidP="00CF4456">
      <w:pPr>
        <w:pStyle w:val="ListParagraph"/>
        <w:numPr>
          <w:ilvl w:val="1"/>
          <w:numId w:val="5"/>
        </w:numPr>
        <w:rPr>
          <w:rFonts w:eastAsiaTheme="minorHAnsi"/>
        </w:rPr>
      </w:pPr>
      <w:r w:rsidRPr="00CF4456">
        <w:rPr>
          <w:rFonts w:eastAsiaTheme="minorHAnsi"/>
        </w:rPr>
        <w:t xml:space="preserve">Eleanor </w:t>
      </w:r>
      <w:proofErr w:type="spellStart"/>
      <w:r w:rsidRPr="00CF4456">
        <w:rPr>
          <w:rFonts w:eastAsiaTheme="minorHAnsi"/>
        </w:rPr>
        <w:t>Suderman</w:t>
      </w:r>
      <w:proofErr w:type="spellEnd"/>
    </w:p>
    <w:p w:rsidR="00CF4456" w:rsidRPr="00CF4456" w:rsidRDefault="00CF4456" w:rsidP="00CF4456">
      <w:pPr>
        <w:pStyle w:val="ListParagraph"/>
        <w:numPr>
          <w:ilvl w:val="1"/>
          <w:numId w:val="5"/>
        </w:numPr>
        <w:rPr>
          <w:rFonts w:eastAsiaTheme="minorHAnsi"/>
        </w:rPr>
      </w:pPr>
      <w:r w:rsidRPr="00CF4456">
        <w:rPr>
          <w:rFonts w:eastAsiaTheme="minorHAnsi"/>
        </w:rPr>
        <w:t>Donald Winston</w:t>
      </w:r>
    </w:p>
    <w:p w:rsidR="00CF4456" w:rsidRPr="00CF4456" w:rsidRDefault="00CF4456" w:rsidP="00CF4456">
      <w:pPr>
        <w:pStyle w:val="ListParagraph"/>
        <w:rPr>
          <w:rFonts w:eastAsiaTheme="minorHAnsi"/>
        </w:rPr>
      </w:pPr>
      <w:r w:rsidRPr="00CF4456">
        <w:rPr>
          <w:rFonts w:eastAsiaTheme="minorHAnsi"/>
        </w:rPr>
        <w:t xml:space="preserve">Susan </w:t>
      </w:r>
      <w:proofErr w:type="spellStart"/>
      <w:r w:rsidRPr="00CF4456">
        <w:rPr>
          <w:rFonts w:eastAsiaTheme="minorHAnsi"/>
        </w:rPr>
        <w:t>Lubell</w:t>
      </w:r>
      <w:proofErr w:type="spellEnd"/>
    </w:p>
    <w:p w:rsidR="00CF4456" w:rsidRPr="00CF4456" w:rsidRDefault="00CF4456" w:rsidP="00CF4456">
      <w:pPr>
        <w:pStyle w:val="ListParagraph"/>
        <w:rPr>
          <w:rFonts w:eastAsiaTheme="minorHAnsi"/>
        </w:rPr>
      </w:pPr>
      <w:r w:rsidRPr="00CF4456">
        <w:rPr>
          <w:rFonts w:eastAsiaTheme="minorHAnsi"/>
        </w:rPr>
        <w:t>David McInnes</w:t>
      </w:r>
    </w:p>
    <w:p w:rsidR="00CF4456" w:rsidRPr="00CF4456" w:rsidRDefault="00CF4456" w:rsidP="00CF4456">
      <w:pPr>
        <w:pStyle w:val="ListParagraph"/>
        <w:rPr>
          <w:rFonts w:eastAsiaTheme="minorHAnsi"/>
        </w:rPr>
      </w:pPr>
      <w:r w:rsidRPr="00CF4456">
        <w:rPr>
          <w:rFonts w:eastAsiaTheme="minorHAnsi"/>
        </w:rPr>
        <w:t xml:space="preserve">Gail </w:t>
      </w:r>
      <w:proofErr w:type="spellStart"/>
      <w:r w:rsidRPr="00CF4456">
        <w:rPr>
          <w:rFonts w:eastAsiaTheme="minorHAnsi"/>
        </w:rPr>
        <w:t>Mildren</w:t>
      </w:r>
      <w:proofErr w:type="spellEnd"/>
    </w:p>
    <w:p w:rsidR="00CF4456" w:rsidRPr="00CF4456" w:rsidRDefault="00CF4456" w:rsidP="00CF4456">
      <w:pPr>
        <w:pStyle w:val="ListParagraph"/>
        <w:rPr>
          <w:rFonts w:eastAsiaTheme="minorHAnsi"/>
          <w:lang w:val="fr-FR"/>
        </w:rPr>
      </w:pPr>
      <w:proofErr w:type="spellStart"/>
      <w:r w:rsidRPr="00CF4456">
        <w:rPr>
          <w:rFonts w:eastAsiaTheme="minorHAnsi"/>
          <w:lang w:val="fr-FR"/>
        </w:rPr>
        <w:t>Lynnette</w:t>
      </w:r>
      <w:proofErr w:type="spellEnd"/>
      <w:r w:rsidRPr="00CF4456">
        <w:rPr>
          <w:rFonts w:eastAsiaTheme="minorHAnsi"/>
          <w:lang w:val="fr-FR"/>
        </w:rPr>
        <w:t xml:space="preserve"> Milton</w:t>
      </w:r>
    </w:p>
    <w:p w:rsidR="00CF4456" w:rsidRPr="00CF4456" w:rsidRDefault="00CF4456" w:rsidP="00CF4456">
      <w:pPr>
        <w:pStyle w:val="ListParagraph"/>
        <w:rPr>
          <w:rFonts w:eastAsiaTheme="minorHAnsi"/>
          <w:lang w:val="fr-FR"/>
        </w:rPr>
      </w:pPr>
      <w:r w:rsidRPr="00CF4456">
        <w:rPr>
          <w:rFonts w:eastAsiaTheme="minorHAnsi"/>
          <w:lang w:val="fr-FR"/>
        </w:rPr>
        <w:t xml:space="preserve">Jacquie &amp; Marc </w:t>
      </w:r>
      <w:proofErr w:type="spellStart"/>
      <w:r w:rsidRPr="00CF4456">
        <w:rPr>
          <w:rFonts w:eastAsiaTheme="minorHAnsi"/>
          <w:lang w:val="fr-FR"/>
        </w:rPr>
        <w:t>Molin</w:t>
      </w:r>
      <w:proofErr w:type="spellEnd"/>
    </w:p>
    <w:p w:rsidR="00CF4456" w:rsidRPr="00CF4456" w:rsidRDefault="00CF4456" w:rsidP="00CF4456">
      <w:pPr>
        <w:pStyle w:val="ListParagraph"/>
        <w:rPr>
          <w:rFonts w:eastAsiaTheme="minorHAnsi"/>
          <w:lang w:val="fr-FR"/>
        </w:rPr>
      </w:pPr>
      <w:proofErr w:type="spellStart"/>
      <w:r w:rsidRPr="00CF4456">
        <w:rPr>
          <w:rFonts w:eastAsiaTheme="minorHAnsi"/>
          <w:lang w:val="fr-FR"/>
        </w:rPr>
        <w:t>Terrance</w:t>
      </w:r>
      <w:proofErr w:type="spellEnd"/>
      <w:r w:rsidRPr="00CF4456">
        <w:rPr>
          <w:rFonts w:eastAsiaTheme="minorHAnsi"/>
          <w:lang w:val="fr-FR"/>
        </w:rPr>
        <w:t xml:space="preserve"> A. </w:t>
      </w:r>
      <w:proofErr w:type="spellStart"/>
      <w:r w:rsidRPr="00CF4456">
        <w:rPr>
          <w:rFonts w:eastAsiaTheme="minorHAnsi"/>
          <w:lang w:val="fr-FR"/>
        </w:rPr>
        <w:t>Muzychuk</w:t>
      </w:r>
      <w:proofErr w:type="spellEnd"/>
    </w:p>
    <w:p w:rsidR="00CF4456" w:rsidRPr="00CF4456" w:rsidRDefault="00CF4456" w:rsidP="00CF4456">
      <w:pPr>
        <w:pStyle w:val="ListParagraph"/>
        <w:rPr>
          <w:rFonts w:eastAsiaTheme="minorHAnsi"/>
          <w:lang w:val="fr-FR"/>
        </w:rPr>
      </w:pPr>
      <w:r w:rsidRPr="00CF4456">
        <w:rPr>
          <w:rFonts w:eastAsiaTheme="minorHAnsi"/>
          <w:lang w:val="fr-FR"/>
        </w:rPr>
        <w:t>Phi Van Nguyen</w:t>
      </w:r>
    </w:p>
    <w:p w:rsidR="00CF4456" w:rsidRPr="00CF4456" w:rsidRDefault="00CF4456" w:rsidP="00CF4456">
      <w:pPr>
        <w:pStyle w:val="ListParagraph"/>
        <w:rPr>
          <w:rFonts w:eastAsiaTheme="minorHAnsi"/>
        </w:rPr>
      </w:pPr>
      <w:r w:rsidRPr="00CF4456">
        <w:rPr>
          <w:rFonts w:eastAsiaTheme="minorHAnsi"/>
        </w:rPr>
        <w:t>Rosemary O’Connell</w:t>
      </w:r>
    </w:p>
    <w:p w:rsidR="00CF4456" w:rsidRPr="00CF4456" w:rsidRDefault="00CF4456" w:rsidP="00CF4456">
      <w:pPr>
        <w:pStyle w:val="ListParagraph"/>
        <w:rPr>
          <w:rFonts w:eastAsiaTheme="minorHAnsi"/>
        </w:rPr>
      </w:pPr>
      <w:r w:rsidRPr="00CF4456">
        <w:rPr>
          <w:rFonts w:eastAsiaTheme="minorHAnsi"/>
        </w:rPr>
        <w:t>Celia Rodd</w:t>
      </w:r>
    </w:p>
    <w:p w:rsidR="00CF4456" w:rsidRPr="00CF4456" w:rsidRDefault="00CF4456" w:rsidP="00CF4456">
      <w:pPr>
        <w:pStyle w:val="ListParagraph"/>
        <w:rPr>
          <w:rFonts w:eastAsiaTheme="minorHAnsi"/>
        </w:rPr>
      </w:pPr>
      <w:r w:rsidRPr="00CF4456">
        <w:rPr>
          <w:rFonts w:eastAsiaTheme="minorHAnsi"/>
        </w:rPr>
        <w:t>George Russell</w:t>
      </w:r>
    </w:p>
    <w:p w:rsidR="00CF4456" w:rsidRPr="00CF4456" w:rsidRDefault="00CF4456" w:rsidP="00CF4456">
      <w:pPr>
        <w:pStyle w:val="ListParagraph"/>
        <w:rPr>
          <w:rFonts w:eastAsiaTheme="minorHAnsi"/>
        </w:rPr>
      </w:pPr>
      <w:proofErr w:type="spellStart"/>
      <w:r w:rsidRPr="00CF4456">
        <w:rPr>
          <w:rFonts w:eastAsiaTheme="minorHAnsi"/>
        </w:rPr>
        <w:t>Evgueni</w:t>
      </w:r>
      <w:proofErr w:type="spellEnd"/>
      <w:r w:rsidRPr="00CF4456">
        <w:rPr>
          <w:rFonts w:eastAsiaTheme="minorHAnsi"/>
        </w:rPr>
        <w:t xml:space="preserve"> </w:t>
      </w:r>
      <w:proofErr w:type="spellStart"/>
      <w:r w:rsidRPr="00CF4456">
        <w:rPr>
          <w:rFonts w:eastAsiaTheme="minorHAnsi"/>
        </w:rPr>
        <w:t>Sinev</w:t>
      </w:r>
      <w:proofErr w:type="spellEnd"/>
    </w:p>
    <w:p w:rsidR="00CF4456" w:rsidRPr="00CF4456" w:rsidRDefault="00CF4456" w:rsidP="00CF4456">
      <w:pPr>
        <w:pStyle w:val="ListParagraph"/>
        <w:rPr>
          <w:rFonts w:eastAsiaTheme="minorHAnsi"/>
        </w:rPr>
      </w:pPr>
      <w:r w:rsidRPr="00CF4456">
        <w:rPr>
          <w:rFonts w:eastAsiaTheme="minorHAnsi"/>
        </w:rPr>
        <w:t>Maureen &amp; Leo Steinfeld</w:t>
      </w:r>
    </w:p>
    <w:p w:rsidR="00CF4456" w:rsidRPr="00CF4456" w:rsidRDefault="00CF4456" w:rsidP="00CF4456">
      <w:pPr>
        <w:pStyle w:val="ListParagraph"/>
        <w:rPr>
          <w:rFonts w:eastAsiaTheme="minorHAnsi"/>
        </w:rPr>
      </w:pPr>
      <w:r w:rsidRPr="00CF4456">
        <w:rPr>
          <w:rFonts w:eastAsiaTheme="minorHAnsi"/>
        </w:rPr>
        <w:t xml:space="preserve">Olga </w:t>
      </w:r>
      <w:proofErr w:type="spellStart"/>
      <w:r w:rsidRPr="00CF4456">
        <w:rPr>
          <w:rFonts w:eastAsiaTheme="minorHAnsi"/>
        </w:rPr>
        <w:t>Synova</w:t>
      </w:r>
      <w:proofErr w:type="spellEnd"/>
    </w:p>
    <w:p w:rsidR="00CF4456" w:rsidRPr="00CF4456" w:rsidRDefault="00CF4456" w:rsidP="00CF4456">
      <w:pPr>
        <w:pStyle w:val="ListParagraph"/>
        <w:rPr>
          <w:rFonts w:eastAsiaTheme="minorHAnsi"/>
        </w:rPr>
      </w:pPr>
      <w:r w:rsidRPr="00CF4456">
        <w:rPr>
          <w:rFonts w:eastAsiaTheme="minorHAnsi"/>
        </w:rPr>
        <w:t>The Winnipeg Foundation</w:t>
      </w:r>
    </w:p>
    <w:p w:rsidR="00CF4456" w:rsidRPr="00B1062E" w:rsidRDefault="00CF4456" w:rsidP="00B1062E">
      <w:pPr>
        <w:pStyle w:val="ListParagraph"/>
        <w:numPr>
          <w:ilvl w:val="1"/>
          <w:numId w:val="5"/>
        </w:numPr>
        <w:rPr>
          <w:rFonts w:eastAsiaTheme="minorHAnsi"/>
        </w:rPr>
      </w:pPr>
      <w:r w:rsidRPr="00B1062E">
        <w:rPr>
          <w:rFonts w:eastAsiaTheme="minorHAnsi"/>
        </w:rPr>
        <w:t xml:space="preserve">Nancy </w:t>
      </w:r>
      <w:proofErr w:type="spellStart"/>
      <w:r w:rsidRPr="00B1062E">
        <w:rPr>
          <w:rFonts w:eastAsiaTheme="minorHAnsi"/>
        </w:rPr>
        <w:t>Turriff</w:t>
      </w:r>
      <w:proofErr w:type="spellEnd"/>
      <w:r w:rsidRPr="00B1062E">
        <w:rPr>
          <w:rFonts w:eastAsiaTheme="minorHAnsi"/>
        </w:rPr>
        <w:t xml:space="preserve"> and Jeanne</w:t>
      </w:r>
      <w:r w:rsidR="00B1062E" w:rsidRPr="00B1062E">
        <w:rPr>
          <w:rFonts w:eastAsiaTheme="minorHAnsi"/>
        </w:rPr>
        <w:t xml:space="preserve"> </w:t>
      </w:r>
      <w:r w:rsidRPr="00B1062E">
        <w:rPr>
          <w:rFonts w:eastAsiaTheme="minorHAnsi"/>
        </w:rPr>
        <w:t>Allen Fund</w:t>
      </w:r>
    </w:p>
    <w:p w:rsidR="00CF4456" w:rsidRPr="00B1062E" w:rsidRDefault="00CF4456" w:rsidP="00B1062E">
      <w:pPr>
        <w:pStyle w:val="ListParagraph"/>
        <w:numPr>
          <w:ilvl w:val="1"/>
          <w:numId w:val="5"/>
        </w:numPr>
        <w:rPr>
          <w:rFonts w:eastAsiaTheme="minorHAnsi"/>
        </w:rPr>
      </w:pPr>
      <w:r w:rsidRPr="00B1062E">
        <w:rPr>
          <w:rFonts w:eastAsiaTheme="minorHAnsi"/>
        </w:rPr>
        <w:t xml:space="preserve">Robert I. and Margaret </w:t>
      </w:r>
      <w:proofErr w:type="spellStart"/>
      <w:proofErr w:type="gramStart"/>
      <w:r w:rsidRPr="00B1062E">
        <w:rPr>
          <w:rFonts w:eastAsiaTheme="minorHAnsi"/>
        </w:rPr>
        <w:t>J.Clague</w:t>
      </w:r>
      <w:proofErr w:type="spellEnd"/>
      <w:proofErr w:type="gramEnd"/>
      <w:r w:rsidRPr="00B1062E">
        <w:rPr>
          <w:rFonts w:eastAsiaTheme="minorHAnsi"/>
        </w:rPr>
        <w:t xml:space="preserve"> Memorial Fund</w:t>
      </w:r>
    </w:p>
    <w:p w:rsidR="00CF4456" w:rsidRPr="00B1062E" w:rsidRDefault="00CF4456" w:rsidP="00B1062E">
      <w:pPr>
        <w:pStyle w:val="ListParagraph"/>
        <w:numPr>
          <w:ilvl w:val="1"/>
          <w:numId w:val="5"/>
        </w:numPr>
        <w:rPr>
          <w:rFonts w:eastAsiaTheme="minorHAnsi"/>
        </w:rPr>
      </w:pPr>
      <w:r w:rsidRPr="00B1062E">
        <w:rPr>
          <w:rFonts w:eastAsiaTheme="minorHAnsi"/>
        </w:rPr>
        <w:t xml:space="preserve">Margaret M. and John </w:t>
      </w:r>
      <w:proofErr w:type="spellStart"/>
      <w:proofErr w:type="gramStart"/>
      <w:r w:rsidRPr="00B1062E">
        <w:rPr>
          <w:rFonts w:eastAsiaTheme="minorHAnsi"/>
        </w:rPr>
        <w:t>C.Webster</w:t>
      </w:r>
      <w:proofErr w:type="spellEnd"/>
      <w:proofErr w:type="gramEnd"/>
      <w:r w:rsidRPr="00B1062E">
        <w:rPr>
          <w:rFonts w:eastAsiaTheme="minorHAnsi"/>
        </w:rPr>
        <w:t xml:space="preserve"> Memorial Fund</w:t>
      </w:r>
    </w:p>
    <w:p w:rsidR="00CF4456" w:rsidRPr="00CF4456" w:rsidRDefault="00CF4456" w:rsidP="00B1062E">
      <w:pPr>
        <w:pStyle w:val="ListParagraph"/>
        <w:numPr>
          <w:ilvl w:val="1"/>
          <w:numId w:val="5"/>
        </w:numPr>
        <w:rPr>
          <w:rFonts w:eastAsiaTheme="minorHAnsi"/>
        </w:rPr>
      </w:pPr>
      <w:r w:rsidRPr="00CF4456">
        <w:rPr>
          <w:rFonts w:eastAsiaTheme="minorHAnsi"/>
        </w:rPr>
        <w:t>Shirley Edith Sherwood Fund</w:t>
      </w:r>
    </w:p>
    <w:p w:rsidR="00CF4456" w:rsidRPr="00CF4456" w:rsidRDefault="00CF4456" w:rsidP="00CF4456">
      <w:pPr>
        <w:pStyle w:val="ListParagraph"/>
        <w:rPr>
          <w:rFonts w:eastAsiaTheme="minorHAnsi"/>
        </w:rPr>
      </w:pPr>
      <w:r w:rsidRPr="00CF4456">
        <w:rPr>
          <w:rFonts w:eastAsiaTheme="minorHAnsi"/>
        </w:rPr>
        <w:t>Winnipeg Public Library Board</w:t>
      </w:r>
    </w:p>
    <w:p w:rsidR="00CF4456" w:rsidRPr="00CF4456" w:rsidRDefault="00CF4456" w:rsidP="00B1062E">
      <w:pPr>
        <w:pStyle w:val="ListParagraph"/>
        <w:numPr>
          <w:ilvl w:val="1"/>
          <w:numId w:val="5"/>
        </w:numPr>
        <w:rPr>
          <w:rFonts w:eastAsiaTheme="minorHAnsi"/>
        </w:rPr>
      </w:pPr>
      <w:r w:rsidRPr="00CF4456">
        <w:rPr>
          <w:rFonts w:eastAsiaTheme="minorHAnsi"/>
        </w:rPr>
        <w:t>Library Advisory Committees</w:t>
      </w:r>
    </w:p>
    <w:p w:rsidR="00CF4456" w:rsidRPr="00CF4456" w:rsidRDefault="00CF4456" w:rsidP="00CF4456">
      <w:pPr>
        <w:pStyle w:val="ListParagraph"/>
        <w:rPr>
          <w:rFonts w:eastAsiaTheme="minorHAnsi"/>
        </w:rPr>
      </w:pPr>
      <w:r w:rsidRPr="00CF4456">
        <w:rPr>
          <w:rFonts w:eastAsiaTheme="minorHAnsi"/>
        </w:rPr>
        <w:t xml:space="preserve">Ernest </w:t>
      </w:r>
      <w:proofErr w:type="spellStart"/>
      <w:r w:rsidRPr="00CF4456">
        <w:rPr>
          <w:rFonts w:eastAsiaTheme="minorHAnsi"/>
        </w:rPr>
        <w:t>Wehrle</w:t>
      </w:r>
      <w:proofErr w:type="spellEnd"/>
    </w:p>
    <w:p w:rsidR="00CF4456" w:rsidRPr="00CF4456" w:rsidRDefault="00CF4456" w:rsidP="00CF4456">
      <w:pPr>
        <w:pStyle w:val="ListParagraph"/>
        <w:rPr>
          <w:rFonts w:eastAsiaTheme="minorHAnsi"/>
        </w:rPr>
      </w:pPr>
      <w:r w:rsidRPr="00CF4456">
        <w:rPr>
          <w:rFonts w:eastAsiaTheme="minorHAnsi"/>
        </w:rPr>
        <w:t>Wendy &amp; Grenville Winslow</w:t>
      </w:r>
    </w:p>
    <w:p w:rsidR="00CF4456" w:rsidRDefault="00CF4456" w:rsidP="00CF4456">
      <w:pPr>
        <w:pStyle w:val="ListParagraph"/>
        <w:rPr>
          <w:rFonts w:eastAsiaTheme="minorHAnsi"/>
          <w:b/>
          <w:bCs/>
        </w:rPr>
      </w:pPr>
      <w:r w:rsidRPr="00CF4456">
        <w:rPr>
          <w:rFonts w:eastAsiaTheme="minorHAnsi"/>
        </w:rPr>
        <w:t>In memory of Ruth Wysocki</w:t>
      </w:r>
    </w:p>
    <w:p w:rsidR="005D0D7F" w:rsidRDefault="005D0D7F" w:rsidP="00CF4456">
      <w:pPr>
        <w:pStyle w:val="Heading1"/>
      </w:pPr>
      <w:r>
        <w:t>Contact</w:t>
      </w:r>
    </w:p>
    <w:p w:rsidR="005D0D7F" w:rsidRPr="005D0D7F" w:rsidRDefault="005D0D7F" w:rsidP="005D0D7F">
      <w:pPr>
        <w:pStyle w:val="NoSpacing"/>
        <w:rPr>
          <w:b/>
        </w:rPr>
      </w:pPr>
      <w:r w:rsidRPr="005D0D7F">
        <w:rPr>
          <w:b/>
        </w:rPr>
        <w:t>Winnipeg Public Library</w:t>
      </w:r>
    </w:p>
    <w:p w:rsidR="005D0D7F" w:rsidRPr="005D0D7F" w:rsidRDefault="005D0D7F" w:rsidP="005D0D7F">
      <w:pPr>
        <w:pStyle w:val="NoSpacing"/>
      </w:pPr>
      <w:r w:rsidRPr="005D0D7F">
        <w:t>251 Donald Street</w:t>
      </w:r>
    </w:p>
    <w:p w:rsidR="005D0D7F" w:rsidRPr="005D0D7F" w:rsidRDefault="005D0D7F" w:rsidP="005D0D7F">
      <w:pPr>
        <w:pStyle w:val="NoSpacing"/>
      </w:pPr>
      <w:r w:rsidRPr="005D0D7F">
        <w:t>Winnipeg, Manitoba</w:t>
      </w:r>
    </w:p>
    <w:p w:rsidR="005D0D7F" w:rsidRPr="005D0D7F" w:rsidRDefault="005D0D7F" w:rsidP="005D0D7F">
      <w:pPr>
        <w:pStyle w:val="NoSpacing"/>
      </w:pPr>
      <w:r w:rsidRPr="005D0D7F">
        <w:t>R3C 3P5</w:t>
      </w:r>
    </w:p>
    <w:p w:rsidR="005D0D7F" w:rsidRPr="005D0D7F" w:rsidRDefault="005D0D7F" w:rsidP="005D0D7F">
      <w:pPr>
        <w:pStyle w:val="NoSpacing"/>
      </w:pPr>
      <w:r w:rsidRPr="005D0D7F">
        <w:t>winnipeg.ca/library</w:t>
      </w:r>
    </w:p>
    <w:p w:rsidR="005D0D7F" w:rsidRPr="005D0D7F" w:rsidRDefault="005D0D7F" w:rsidP="005D0D7F">
      <w:pPr>
        <w:pStyle w:val="NoSpacing"/>
      </w:pPr>
      <w:proofErr w:type="spellStart"/>
      <w:r w:rsidRPr="005D0D7F">
        <w:t>facebook</w:t>
      </w:r>
      <w:proofErr w:type="spellEnd"/>
      <w:r w:rsidRPr="005D0D7F">
        <w:t xml:space="preserve">: </w:t>
      </w:r>
      <w:proofErr w:type="spellStart"/>
      <w:r w:rsidRPr="005D0D7F">
        <w:t>winnipegpubliclibrary</w:t>
      </w:r>
      <w:proofErr w:type="spellEnd"/>
      <w:r w:rsidRPr="005D0D7F">
        <w:t xml:space="preserve"> </w:t>
      </w:r>
    </w:p>
    <w:p w:rsidR="005D0D7F" w:rsidRPr="005D0D7F" w:rsidRDefault="00B1062E" w:rsidP="005D0D7F">
      <w:pPr>
        <w:pStyle w:val="NoSpacing"/>
      </w:pPr>
      <w:r>
        <w:t>X (formerly T</w:t>
      </w:r>
      <w:r w:rsidR="005D0D7F" w:rsidRPr="005D0D7F">
        <w:t>witter</w:t>
      </w:r>
      <w:r>
        <w:t>)</w:t>
      </w:r>
      <w:r w:rsidR="005D0D7F" w:rsidRPr="005D0D7F">
        <w:t>: @</w:t>
      </w:r>
      <w:proofErr w:type="spellStart"/>
      <w:r w:rsidR="005D0D7F" w:rsidRPr="005D0D7F">
        <w:t>wpglibrary</w:t>
      </w:r>
      <w:proofErr w:type="spellEnd"/>
    </w:p>
    <w:p w:rsidR="004E16AB" w:rsidRPr="005D0D7F" w:rsidRDefault="005D0D7F" w:rsidP="005D0D7F">
      <w:pPr>
        <w:pStyle w:val="NoSpacing"/>
      </w:pPr>
      <w:r w:rsidRPr="005D0D7F">
        <w:t xml:space="preserve">Instagram: </w:t>
      </w:r>
      <w:proofErr w:type="spellStart"/>
      <w:r w:rsidRPr="005D0D7F">
        <w:t>winnipegpubliclibrary</w:t>
      </w:r>
      <w:proofErr w:type="spellEnd"/>
    </w:p>
    <w:sectPr w:rsidR="004E16AB" w:rsidRPr="005D0D7F" w:rsidSect="00812F83">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ource Sans Pro Semibold">
    <w:altName w:val="Source Sans Pro Semibold"/>
    <w:panose1 w:val="020B0603030403020204"/>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632941"/>
    <w:multiLevelType w:val="hybridMultilevel"/>
    <w:tmpl w:val="07B0CE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54040"/>
    <w:multiLevelType w:val="hybridMultilevel"/>
    <w:tmpl w:val="BD749542"/>
    <w:lvl w:ilvl="0" w:tplc="68B2D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27D6"/>
    <w:multiLevelType w:val="hybridMultilevel"/>
    <w:tmpl w:val="BE4E7144"/>
    <w:lvl w:ilvl="0" w:tplc="83444F3A">
      <w:start w:val="1"/>
      <w:numFmt w:val="bullet"/>
      <w:pStyle w:val="ListParagraph"/>
      <w:lvlText w:val=""/>
      <w:lvlJc w:val="left"/>
      <w:pPr>
        <w:ind w:left="720" w:hanging="360"/>
      </w:pPr>
      <w:rPr>
        <w:rFonts w:ascii="Symbol" w:hAnsi="Symbol" w:hint="default"/>
      </w:rPr>
    </w:lvl>
    <w:lvl w:ilvl="1" w:tplc="E4681FA0">
      <w:numFmt w:val="bullet"/>
      <w:lvlText w:val="–"/>
      <w:lvlJc w:val="left"/>
      <w:pPr>
        <w:ind w:left="1440" w:hanging="360"/>
      </w:pPr>
      <w:rPr>
        <w:rFonts w:ascii="Arial" w:eastAsiaTheme="maj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00982"/>
    <w:multiLevelType w:val="hybridMultilevel"/>
    <w:tmpl w:val="C9D2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1465C"/>
    <w:multiLevelType w:val="hybridMultilevel"/>
    <w:tmpl w:val="F110B318"/>
    <w:lvl w:ilvl="0" w:tplc="712E59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94"/>
    <w:rsid w:val="00051A97"/>
    <w:rsid w:val="0011441D"/>
    <w:rsid w:val="001737BD"/>
    <w:rsid w:val="001C3420"/>
    <w:rsid w:val="001D3A61"/>
    <w:rsid w:val="001E07CC"/>
    <w:rsid w:val="00321185"/>
    <w:rsid w:val="003215BB"/>
    <w:rsid w:val="0036607E"/>
    <w:rsid w:val="003D1194"/>
    <w:rsid w:val="00453FE0"/>
    <w:rsid w:val="004E16AB"/>
    <w:rsid w:val="00514CF2"/>
    <w:rsid w:val="00560001"/>
    <w:rsid w:val="005D0D7F"/>
    <w:rsid w:val="005F6D65"/>
    <w:rsid w:val="00735431"/>
    <w:rsid w:val="00812F83"/>
    <w:rsid w:val="008B436B"/>
    <w:rsid w:val="008F5565"/>
    <w:rsid w:val="009652E5"/>
    <w:rsid w:val="0099374F"/>
    <w:rsid w:val="009A0B0B"/>
    <w:rsid w:val="009D7FF5"/>
    <w:rsid w:val="009E3727"/>
    <w:rsid w:val="009F1C4E"/>
    <w:rsid w:val="00A707CD"/>
    <w:rsid w:val="00AB4F75"/>
    <w:rsid w:val="00AB51BD"/>
    <w:rsid w:val="00B1062E"/>
    <w:rsid w:val="00BA3E3F"/>
    <w:rsid w:val="00C61B2F"/>
    <w:rsid w:val="00CF4456"/>
    <w:rsid w:val="00D071CB"/>
    <w:rsid w:val="00D61126"/>
    <w:rsid w:val="00E84348"/>
    <w:rsid w:val="00F2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637E"/>
  <w15:chartTrackingRefBased/>
  <w15:docId w15:val="{479AB3B3-028D-40C6-8B35-8D74E3B0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A61"/>
    <w:rPr>
      <w:sz w:val="28"/>
    </w:rPr>
  </w:style>
  <w:style w:type="paragraph" w:styleId="Heading1">
    <w:name w:val="heading 1"/>
    <w:basedOn w:val="Normal"/>
    <w:next w:val="Normal"/>
    <w:link w:val="Heading1Char"/>
    <w:uiPriority w:val="9"/>
    <w:qFormat/>
    <w:rsid w:val="00E84348"/>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4348"/>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PrintBody">
    <w:name w:val="Large Print Body"/>
    <w:basedOn w:val="Normal"/>
    <w:link w:val="LargePrintBodyChar"/>
    <w:qFormat/>
    <w:rsid w:val="00E84348"/>
    <w:pPr>
      <w:suppressAutoHyphens/>
      <w:autoSpaceDE w:val="0"/>
      <w:autoSpaceDN w:val="0"/>
      <w:adjustRightInd w:val="0"/>
      <w:spacing w:after="180" w:line="240" w:lineRule="auto"/>
      <w:textAlignment w:val="center"/>
    </w:pPr>
    <w:rPr>
      <w:rFonts w:ascii="Minion Pro" w:hAnsi="Minion Pro" w:cs="Minion Pro"/>
      <w:color w:val="000000"/>
      <w:szCs w:val="28"/>
    </w:rPr>
  </w:style>
  <w:style w:type="character" w:customStyle="1" w:styleId="LargePrintBodyChar">
    <w:name w:val="Large Print Body Char"/>
    <w:basedOn w:val="DefaultParagraphFont"/>
    <w:link w:val="LargePrintBody"/>
    <w:rsid w:val="00E84348"/>
    <w:rPr>
      <w:rFonts w:ascii="Minion Pro" w:hAnsi="Minion Pro" w:cs="Minion Pro"/>
      <w:color w:val="000000"/>
      <w:sz w:val="28"/>
      <w:szCs w:val="28"/>
    </w:rPr>
  </w:style>
  <w:style w:type="character" w:customStyle="1" w:styleId="Heading1Char">
    <w:name w:val="Heading 1 Char"/>
    <w:basedOn w:val="DefaultParagraphFont"/>
    <w:link w:val="Heading1"/>
    <w:uiPriority w:val="9"/>
    <w:rsid w:val="00E84348"/>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84348"/>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1D3A61"/>
    <w:pPr>
      <w:spacing w:after="300" w:line="240" w:lineRule="auto"/>
      <w:contextualSpacing/>
    </w:pPr>
    <w:rPr>
      <w:rFonts w:asciiTheme="majorHAnsi" w:eastAsiaTheme="majorEastAsia" w:hAnsiTheme="majorHAnsi" w:cstheme="majorBidi"/>
      <w:b/>
      <w:caps/>
      <w:color w:val="000000" w:themeColor="text1"/>
      <w:spacing w:val="5"/>
      <w:kern w:val="28"/>
      <w:sz w:val="40"/>
      <w:szCs w:val="52"/>
    </w:rPr>
  </w:style>
  <w:style w:type="character" w:customStyle="1" w:styleId="TitleChar">
    <w:name w:val="Title Char"/>
    <w:basedOn w:val="DefaultParagraphFont"/>
    <w:link w:val="Title"/>
    <w:uiPriority w:val="10"/>
    <w:rsid w:val="001D3A61"/>
    <w:rPr>
      <w:rFonts w:asciiTheme="majorHAnsi" w:eastAsiaTheme="majorEastAsia" w:hAnsiTheme="majorHAnsi" w:cstheme="majorBidi"/>
      <w:b/>
      <w:caps/>
      <w:color w:val="000000" w:themeColor="text1"/>
      <w:spacing w:val="5"/>
      <w:kern w:val="28"/>
      <w:sz w:val="40"/>
      <w:szCs w:val="52"/>
    </w:rPr>
  </w:style>
  <w:style w:type="paragraph" w:styleId="Subtitle">
    <w:name w:val="Subtitle"/>
    <w:basedOn w:val="Normal"/>
    <w:next w:val="Normal"/>
    <w:link w:val="SubtitleChar"/>
    <w:uiPriority w:val="11"/>
    <w:qFormat/>
    <w:rsid w:val="00E843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34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84348"/>
    <w:pPr>
      <w:spacing w:after="0" w:line="240" w:lineRule="auto"/>
    </w:pPr>
    <w:rPr>
      <w:sz w:val="28"/>
    </w:rPr>
  </w:style>
  <w:style w:type="paragraph" w:styleId="ListParagraph">
    <w:name w:val="List Paragraph"/>
    <w:basedOn w:val="Normal"/>
    <w:autoRedefine/>
    <w:uiPriority w:val="34"/>
    <w:qFormat/>
    <w:rsid w:val="00F24277"/>
    <w:pPr>
      <w:numPr>
        <w:numId w:val="5"/>
      </w:numPr>
      <w:spacing w:before="120" w:after="120" w:line="240" w:lineRule="auto"/>
    </w:pPr>
    <w:rPr>
      <w:rFonts w:eastAsiaTheme="minorEastAsia"/>
      <w:szCs w:val="28"/>
    </w:rPr>
  </w:style>
  <w:style w:type="paragraph" w:customStyle="1" w:styleId="infoitems">
    <w:name w:val="infoitems"/>
    <w:basedOn w:val="Normal"/>
    <w:uiPriority w:val="99"/>
    <w:rsid w:val="003D1194"/>
    <w:pPr>
      <w:suppressAutoHyphens/>
      <w:autoSpaceDE w:val="0"/>
      <w:autoSpaceDN w:val="0"/>
      <w:adjustRightInd w:val="0"/>
      <w:spacing w:after="0" w:line="288" w:lineRule="auto"/>
      <w:textAlignment w:val="center"/>
    </w:pPr>
    <w:rPr>
      <w:rFonts w:ascii="Source Sans Pro" w:hAnsi="Source Sans Pro" w:cs="Source Sans Pro"/>
      <w:b/>
      <w:bCs/>
      <w:color w:val="FFFFFF"/>
      <w:sz w:val="24"/>
      <w:szCs w:val="24"/>
    </w:rPr>
  </w:style>
  <w:style w:type="paragraph" w:customStyle="1" w:styleId="covercopy">
    <w:name w:val="cover copy"/>
    <w:basedOn w:val="Normal"/>
    <w:uiPriority w:val="99"/>
    <w:rsid w:val="003D1194"/>
    <w:pPr>
      <w:suppressAutoHyphens/>
      <w:autoSpaceDE w:val="0"/>
      <w:autoSpaceDN w:val="0"/>
      <w:adjustRightInd w:val="0"/>
      <w:spacing w:before="90" w:after="0" w:line="260" w:lineRule="atLeast"/>
      <w:textAlignment w:val="center"/>
    </w:pPr>
    <w:rPr>
      <w:rFonts w:ascii="Source Sans Pro" w:hAnsi="Source Sans Pro" w:cs="Source Sans Pro"/>
      <w:color w:val="000000"/>
      <w:sz w:val="20"/>
      <w:szCs w:val="20"/>
    </w:rPr>
  </w:style>
  <w:style w:type="paragraph" w:customStyle="1" w:styleId="BasicParagraph">
    <w:name w:val="[Basic Paragraph]"/>
    <w:basedOn w:val="Normal"/>
    <w:uiPriority w:val="99"/>
    <w:rsid w:val="00BA3E3F"/>
    <w:pPr>
      <w:suppressAutoHyphens/>
      <w:autoSpaceDE w:val="0"/>
      <w:autoSpaceDN w:val="0"/>
      <w:adjustRightInd w:val="0"/>
      <w:spacing w:after="0" w:line="288" w:lineRule="auto"/>
      <w:textAlignment w:val="center"/>
    </w:pPr>
    <w:rPr>
      <w:rFonts w:ascii="Source Sans Pro" w:hAnsi="Source Sans Pro" w:cs="Source Sans Pro"/>
      <w:color w:val="000000"/>
      <w:sz w:val="20"/>
      <w:szCs w:val="20"/>
    </w:rPr>
  </w:style>
  <w:style w:type="table" w:styleId="TableGrid">
    <w:name w:val="Table Grid"/>
    <w:basedOn w:val="TableNormal"/>
    <w:uiPriority w:val="59"/>
    <w:rsid w:val="00D0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83"/>
    <w:rPr>
      <w:rFonts w:ascii="Segoe UI" w:hAnsi="Segoe UI" w:cs="Segoe UI"/>
      <w:sz w:val="18"/>
      <w:szCs w:val="18"/>
    </w:rPr>
  </w:style>
  <w:style w:type="paragraph" w:customStyle="1" w:styleId="Default">
    <w:name w:val="Default"/>
    <w:rsid w:val="00321185"/>
    <w:pPr>
      <w:autoSpaceDE w:val="0"/>
      <w:autoSpaceDN w:val="0"/>
      <w:adjustRightInd w:val="0"/>
      <w:spacing w:after="0" w:line="240" w:lineRule="auto"/>
    </w:pPr>
    <w:rPr>
      <w:rFonts w:ascii="Source Sans Pro Semibold" w:hAnsi="Source Sans Pro Semibold" w:cs="Source Sans Pro Semibold"/>
      <w:color w:val="000000"/>
      <w:sz w:val="24"/>
      <w:szCs w:val="24"/>
    </w:rPr>
  </w:style>
  <w:style w:type="character" w:customStyle="1" w:styleId="A10">
    <w:name w:val="A10"/>
    <w:uiPriority w:val="99"/>
    <w:rsid w:val="00321185"/>
    <w:rPr>
      <w:rFonts w:cs="Source Sans Pro Semibold"/>
      <w:b/>
      <w:bCs/>
      <w:color w:val="211D1E"/>
      <w:sz w:val="20"/>
      <w:szCs w:val="20"/>
    </w:rPr>
  </w:style>
  <w:style w:type="character" w:customStyle="1" w:styleId="A12">
    <w:name w:val="A12"/>
    <w:uiPriority w:val="99"/>
    <w:rsid w:val="00321185"/>
    <w:rPr>
      <w:rFonts w:cs="Source Sans Pro Semibold"/>
      <w:b/>
      <w:bCs/>
      <w:color w:val="211D1E"/>
      <w:sz w:val="11"/>
      <w:szCs w:val="11"/>
    </w:rPr>
  </w:style>
  <w:style w:type="character" w:customStyle="1" w:styleId="A9">
    <w:name w:val="A9"/>
    <w:uiPriority w:val="99"/>
    <w:rsid w:val="003215BB"/>
    <w:rPr>
      <w:rFonts w:cs="Source Sans Pro"/>
      <w:color w:val="103885"/>
      <w:sz w:val="19"/>
      <w:szCs w:val="19"/>
    </w:rPr>
  </w:style>
  <w:style w:type="paragraph" w:customStyle="1" w:styleId="Pa2">
    <w:name w:val="Pa2"/>
    <w:basedOn w:val="Default"/>
    <w:next w:val="Default"/>
    <w:uiPriority w:val="99"/>
    <w:rsid w:val="00F24277"/>
    <w:pPr>
      <w:spacing w:line="201" w:lineRule="atLeast"/>
    </w:pPr>
    <w:rPr>
      <w:rFonts w:ascii="Source Sans Pro" w:hAnsi="Source Sans Pro" w:cstheme="minorBidi"/>
      <w:color w:val="auto"/>
    </w:rPr>
  </w:style>
  <w:style w:type="paragraph" w:customStyle="1" w:styleId="Pa23">
    <w:name w:val="Pa23"/>
    <w:basedOn w:val="Default"/>
    <w:next w:val="Default"/>
    <w:uiPriority w:val="99"/>
    <w:rsid w:val="00F24277"/>
    <w:pPr>
      <w:spacing w:line="201" w:lineRule="atLeast"/>
    </w:pPr>
    <w:rPr>
      <w:rFonts w:ascii="Source Sans Pro" w:hAnsi="Source Sans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City of Winnipeg</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Galagan, Sherry</dc:creator>
  <cp:keywords/>
  <dc:description/>
  <cp:lastModifiedBy>Galagan, Sherry</cp:lastModifiedBy>
  <cp:revision>2</cp:revision>
  <dcterms:created xsi:type="dcterms:W3CDTF">2023-11-03T20:13:00Z</dcterms:created>
  <dcterms:modified xsi:type="dcterms:W3CDTF">2023-11-03T20:13:00Z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e8b2fcb58ec631c375c7232262e331501c992d0968ca361a2101fa31b6639d36</vt:lpwstr>
  </property>
</Properties>
</file>